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BD4E0" w14:textId="77777777" w:rsidR="00BC2481" w:rsidRDefault="00BC2481" w:rsidP="00A31A9B">
      <w:pPr>
        <w:jc w:val="center"/>
      </w:pPr>
      <w:r>
        <w:rPr>
          <w:rFonts w:ascii="Times New Roman"/>
          <w:noProof/>
          <w:sz w:val="20"/>
        </w:rPr>
        <mc:AlternateContent>
          <mc:Choice Requires="wpg">
            <w:drawing>
              <wp:inline distT="0" distB="0" distL="0" distR="0" wp14:anchorId="23EB6A58" wp14:editId="2C475347">
                <wp:extent cx="561975" cy="1438275"/>
                <wp:effectExtent l="0" t="0" r="9525"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975" cy="1438275"/>
                          <a:chOff x="0" y="0"/>
                          <a:chExt cx="661670" cy="1831975"/>
                        </a:xfrm>
                      </wpg:grpSpPr>
                      <wps:wsp>
                        <wps:cNvPr id="3" name="Graphic 3"/>
                        <wps:cNvSpPr/>
                        <wps:spPr>
                          <a:xfrm>
                            <a:off x="1" y="543425"/>
                            <a:ext cx="661670" cy="816610"/>
                          </a:xfrm>
                          <a:custGeom>
                            <a:avLst/>
                            <a:gdLst/>
                            <a:ahLst/>
                            <a:cxnLst/>
                            <a:rect l="l" t="t" r="r" b="b"/>
                            <a:pathLst>
                              <a:path w="661670" h="816610">
                                <a:moveTo>
                                  <a:pt x="661060" y="0"/>
                                </a:moveTo>
                                <a:lnTo>
                                  <a:pt x="450545" y="0"/>
                                </a:lnTo>
                                <a:lnTo>
                                  <a:pt x="332460" y="336397"/>
                                </a:lnTo>
                                <a:lnTo>
                                  <a:pt x="211289" y="0"/>
                                </a:lnTo>
                                <a:lnTo>
                                  <a:pt x="0" y="0"/>
                                </a:lnTo>
                                <a:lnTo>
                                  <a:pt x="0" y="816584"/>
                                </a:lnTo>
                                <a:lnTo>
                                  <a:pt x="12687" y="816584"/>
                                </a:lnTo>
                                <a:lnTo>
                                  <a:pt x="44880" y="812896"/>
                                </a:lnTo>
                                <a:lnTo>
                                  <a:pt x="106475" y="803611"/>
                                </a:lnTo>
                                <a:lnTo>
                                  <a:pt x="172440" y="790905"/>
                                </a:lnTo>
                                <a:lnTo>
                                  <a:pt x="172440" y="409448"/>
                                </a:lnTo>
                                <a:lnTo>
                                  <a:pt x="247865" y="772083"/>
                                </a:lnTo>
                                <a:lnTo>
                                  <a:pt x="292841" y="759399"/>
                                </a:lnTo>
                                <a:lnTo>
                                  <a:pt x="424700" y="720471"/>
                                </a:lnTo>
                                <a:lnTo>
                                  <a:pt x="489381" y="409448"/>
                                </a:lnTo>
                                <a:lnTo>
                                  <a:pt x="489381" y="700379"/>
                                </a:lnTo>
                                <a:lnTo>
                                  <a:pt x="531337" y="687682"/>
                                </a:lnTo>
                                <a:lnTo>
                                  <a:pt x="573887" y="675630"/>
                                </a:lnTo>
                                <a:lnTo>
                                  <a:pt x="617104" y="664678"/>
                                </a:lnTo>
                                <a:lnTo>
                                  <a:pt x="661060" y="655281"/>
                                </a:lnTo>
                                <a:lnTo>
                                  <a:pt x="661060" y="0"/>
                                </a:lnTo>
                                <a:close/>
                              </a:path>
                            </a:pathLst>
                          </a:custGeom>
                          <a:solidFill>
                            <a:srgbClr val="3B789E"/>
                          </a:solidFill>
                        </wps:spPr>
                        <wps:bodyPr wrap="square" lIns="0" tIns="0" rIns="0" bIns="0" rtlCol="0">
                          <a:prstTxWarp prst="textNoShape">
                            <a:avLst/>
                          </a:prstTxWarp>
                          <a:noAutofit/>
                        </wps:bodyPr>
                      </wps:wsp>
                      <wps:wsp>
                        <wps:cNvPr id="4" name="Graphic 4"/>
                        <wps:cNvSpPr/>
                        <wps:spPr>
                          <a:xfrm>
                            <a:off x="5" y="1276013"/>
                            <a:ext cx="661670" cy="318135"/>
                          </a:xfrm>
                          <a:custGeom>
                            <a:avLst/>
                            <a:gdLst/>
                            <a:ahLst/>
                            <a:cxnLst/>
                            <a:rect l="l" t="t" r="r" b="b"/>
                            <a:pathLst>
                              <a:path w="661670" h="318135">
                                <a:moveTo>
                                  <a:pt x="661060" y="0"/>
                                </a:moveTo>
                                <a:lnTo>
                                  <a:pt x="608565" y="11309"/>
                                </a:lnTo>
                                <a:lnTo>
                                  <a:pt x="557109" y="24752"/>
                                </a:lnTo>
                                <a:lnTo>
                                  <a:pt x="506575" y="39547"/>
                                </a:lnTo>
                                <a:lnTo>
                                  <a:pt x="456844" y="54914"/>
                                </a:lnTo>
                                <a:lnTo>
                                  <a:pt x="397399" y="73208"/>
                                </a:lnTo>
                                <a:lnTo>
                                  <a:pt x="284376" y="106321"/>
                                </a:lnTo>
                                <a:lnTo>
                                  <a:pt x="233645" y="120449"/>
                                </a:lnTo>
                                <a:lnTo>
                                  <a:pt x="183357" y="133068"/>
                                </a:lnTo>
                                <a:lnTo>
                                  <a:pt x="133007" y="143636"/>
                                </a:lnTo>
                                <a:lnTo>
                                  <a:pt x="68860" y="154433"/>
                                </a:lnTo>
                                <a:lnTo>
                                  <a:pt x="0" y="162763"/>
                                </a:lnTo>
                                <a:lnTo>
                                  <a:pt x="0" y="318046"/>
                                </a:lnTo>
                                <a:lnTo>
                                  <a:pt x="42835" y="313868"/>
                                </a:lnTo>
                                <a:lnTo>
                                  <a:pt x="84137" y="308457"/>
                                </a:lnTo>
                                <a:lnTo>
                                  <a:pt x="123715" y="302208"/>
                                </a:lnTo>
                                <a:lnTo>
                                  <a:pt x="161378" y="295516"/>
                                </a:lnTo>
                                <a:lnTo>
                                  <a:pt x="217400" y="283778"/>
                                </a:lnTo>
                                <a:lnTo>
                                  <a:pt x="272518" y="269995"/>
                                </a:lnTo>
                                <a:lnTo>
                                  <a:pt x="326733" y="254936"/>
                                </a:lnTo>
                                <a:lnTo>
                                  <a:pt x="441786" y="221240"/>
                                </a:lnTo>
                                <a:lnTo>
                                  <a:pt x="543379" y="189887"/>
                                </a:lnTo>
                                <a:lnTo>
                                  <a:pt x="582947" y="178050"/>
                                </a:lnTo>
                                <a:lnTo>
                                  <a:pt x="622112" y="167199"/>
                                </a:lnTo>
                                <a:lnTo>
                                  <a:pt x="661060" y="157708"/>
                                </a:lnTo>
                                <a:lnTo>
                                  <a:pt x="661060" y="0"/>
                                </a:lnTo>
                                <a:close/>
                              </a:path>
                            </a:pathLst>
                          </a:custGeom>
                          <a:solidFill>
                            <a:srgbClr val="72BFD2"/>
                          </a:solidFill>
                        </wps:spPr>
                        <wps:bodyPr wrap="square" lIns="0" tIns="0" rIns="0" bIns="0" rtlCol="0">
                          <a:prstTxWarp prst="textNoShape">
                            <a:avLst/>
                          </a:prstTxWarp>
                          <a:noAutofit/>
                        </wps:bodyPr>
                      </wps:wsp>
                      <wps:wsp>
                        <wps:cNvPr id="5" name="Graphic 5"/>
                        <wps:cNvSpPr/>
                        <wps:spPr>
                          <a:xfrm>
                            <a:off x="5" y="1513409"/>
                            <a:ext cx="661670" cy="318135"/>
                          </a:xfrm>
                          <a:custGeom>
                            <a:avLst/>
                            <a:gdLst/>
                            <a:ahLst/>
                            <a:cxnLst/>
                            <a:rect l="l" t="t" r="r" b="b"/>
                            <a:pathLst>
                              <a:path w="661670" h="318135">
                                <a:moveTo>
                                  <a:pt x="661060" y="0"/>
                                </a:moveTo>
                                <a:lnTo>
                                  <a:pt x="608565" y="11309"/>
                                </a:lnTo>
                                <a:lnTo>
                                  <a:pt x="557109" y="24752"/>
                                </a:lnTo>
                                <a:lnTo>
                                  <a:pt x="506575" y="39547"/>
                                </a:lnTo>
                                <a:lnTo>
                                  <a:pt x="456844" y="54914"/>
                                </a:lnTo>
                                <a:lnTo>
                                  <a:pt x="397399" y="73208"/>
                                </a:lnTo>
                                <a:lnTo>
                                  <a:pt x="284376" y="106321"/>
                                </a:lnTo>
                                <a:lnTo>
                                  <a:pt x="233645" y="120449"/>
                                </a:lnTo>
                                <a:lnTo>
                                  <a:pt x="183357" y="133068"/>
                                </a:lnTo>
                                <a:lnTo>
                                  <a:pt x="133007" y="143636"/>
                                </a:lnTo>
                                <a:lnTo>
                                  <a:pt x="68860" y="154433"/>
                                </a:lnTo>
                                <a:lnTo>
                                  <a:pt x="0" y="162763"/>
                                </a:lnTo>
                                <a:lnTo>
                                  <a:pt x="0" y="318046"/>
                                </a:lnTo>
                                <a:lnTo>
                                  <a:pt x="42835" y="313863"/>
                                </a:lnTo>
                                <a:lnTo>
                                  <a:pt x="84137" y="308452"/>
                                </a:lnTo>
                                <a:lnTo>
                                  <a:pt x="123715" y="302206"/>
                                </a:lnTo>
                                <a:lnTo>
                                  <a:pt x="161378" y="295516"/>
                                </a:lnTo>
                                <a:lnTo>
                                  <a:pt x="217400" y="283778"/>
                                </a:lnTo>
                                <a:lnTo>
                                  <a:pt x="272518" y="269995"/>
                                </a:lnTo>
                                <a:lnTo>
                                  <a:pt x="326733" y="254936"/>
                                </a:lnTo>
                                <a:lnTo>
                                  <a:pt x="441786" y="221240"/>
                                </a:lnTo>
                                <a:lnTo>
                                  <a:pt x="543379" y="189887"/>
                                </a:lnTo>
                                <a:lnTo>
                                  <a:pt x="582947" y="178050"/>
                                </a:lnTo>
                                <a:lnTo>
                                  <a:pt x="622112" y="167199"/>
                                </a:lnTo>
                                <a:lnTo>
                                  <a:pt x="661060" y="157708"/>
                                </a:lnTo>
                                <a:lnTo>
                                  <a:pt x="661060" y="0"/>
                                </a:lnTo>
                                <a:close/>
                              </a:path>
                            </a:pathLst>
                          </a:custGeom>
                          <a:solidFill>
                            <a:srgbClr val="0B293A"/>
                          </a:solidFill>
                        </wps:spPr>
                        <wps:bodyPr wrap="square" lIns="0" tIns="0" rIns="0" bIns="0" rtlCol="0">
                          <a:prstTxWarp prst="textNoShape">
                            <a:avLst/>
                          </a:prstTxWarp>
                          <a:noAutofit/>
                        </wps:bodyPr>
                      </wps:wsp>
                      <wps:wsp>
                        <wps:cNvPr id="6" name="Graphic 6"/>
                        <wps:cNvSpPr/>
                        <wps:spPr>
                          <a:xfrm>
                            <a:off x="0" y="209768"/>
                            <a:ext cx="661670" cy="257810"/>
                          </a:xfrm>
                          <a:custGeom>
                            <a:avLst/>
                            <a:gdLst/>
                            <a:ahLst/>
                            <a:cxnLst/>
                            <a:rect l="l" t="t" r="r" b="b"/>
                            <a:pathLst>
                              <a:path w="661670" h="257810">
                                <a:moveTo>
                                  <a:pt x="661060" y="0"/>
                                </a:moveTo>
                                <a:lnTo>
                                  <a:pt x="0" y="139141"/>
                                </a:lnTo>
                                <a:lnTo>
                                  <a:pt x="0" y="257365"/>
                                </a:lnTo>
                                <a:lnTo>
                                  <a:pt x="212369" y="257365"/>
                                </a:lnTo>
                                <a:lnTo>
                                  <a:pt x="227189" y="219973"/>
                                </a:lnTo>
                                <a:lnTo>
                                  <a:pt x="253207" y="190126"/>
                                </a:lnTo>
                                <a:lnTo>
                                  <a:pt x="287877" y="170359"/>
                                </a:lnTo>
                                <a:lnTo>
                                  <a:pt x="328650" y="163207"/>
                                </a:lnTo>
                                <a:lnTo>
                                  <a:pt x="369416" y="170359"/>
                                </a:lnTo>
                                <a:lnTo>
                                  <a:pt x="404082" y="190126"/>
                                </a:lnTo>
                                <a:lnTo>
                                  <a:pt x="430098" y="219973"/>
                                </a:lnTo>
                                <a:lnTo>
                                  <a:pt x="444919" y="257365"/>
                                </a:lnTo>
                                <a:lnTo>
                                  <a:pt x="661060" y="257365"/>
                                </a:lnTo>
                                <a:lnTo>
                                  <a:pt x="661060" y="0"/>
                                </a:lnTo>
                                <a:close/>
                              </a:path>
                            </a:pathLst>
                          </a:custGeom>
                          <a:solidFill>
                            <a:srgbClr val="72BFD2"/>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5" cstate="print"/>
                          <a:stretch>
                            <a:fillRect/>
                          </a:stretch>
                        </pic:blipFill>
                        <pic:spPr>
                          <a:xfrm>
                            <a:off x="273301" y="457269"/>
                            <a:ext cx="114465" cy="113969"/>
                          </a:xfrm>
                          <a:prstGeom prst="rect">
                            <a:avLst/>
                          </a:prstGeom>
                        </pic:spPr>
                      </pic:pic>
                      <wps:wsp>
                        <wps:cNvPr id="8" name="Graphic 8"/>
                        <wps:cNvSpPr/>
                        <wps:spPr>
                          <a:xfrm>
                            <a:off x="3" y="0"/>
                            <a:ext cx="661670" cy="269240"/>
                          </a:xfrm>
                          <a:custGeom>
                            <a:avLst/>
                            <a:gdLst/>
                            <a:ahLst/>
                            <a:cxnLst/>
                            <a:rect l="l" t="t" r="r" b="b"/>
                            <a:pathLst>
                              <a:path w="661670" h="269240">
                                <a:moveTo>
                                  <a:pt x="661060" y="0"/>
                                </a:moveTo>
                                <a:lnTo>
                                  <a:pt x="0" y="0"/>
                                </a:lnTo>
                                <a:lnTo>
                                  <a:pt x="0" y="268871"/>
                                </a:lnTo>
                                <a:lnTo>
                                  <a:pt x="661060" y="129730"/>
                                </a:lnTo>
                                <a:lnTo>
                                  <a:pt x="661060" y="0"/>
                                </a:lnTo>
                                <a:close/>
                              </a:path>
                            </a:pathLst>
                          </a:custGeom>
                          <a:solidFill>
                            <a:srgbClr val="0B293A"/>
                          </a:solidFill>
                        </wps:spPr>
                        <wps:bodyPr wrap="square" lIns="0" tIns="0" rIns="0" bIns="0" rtlCol="0">
                          <a:prstTxWarp prst="textNoShape">
                            <a:avLst/>
                          </a:prstTxWarp>
                          <a:noAutofit/>
                        </wps:bodyPr>
                      </wps:wsp>
                    </wpg:wgp>
                  </a:graphicData>
                </a:graphic>
              </wp:inline>
            </w:drawing>
          </mc:Choice>
          <mc:Fallback>
            <w:pict>
              <v:group w14:anchorId="1B84E3F5" id="Group 2" o:spid="_x0000_s1026" style="width:44.25pt;height:113.25pt;mso-position-horizontal-relative:char;mso-position-vertical-relative:line" coordsize="6616,18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">
                <v:shape id="Graphic 3" o:spid="_x0000_s1027" style="position:absolute;top:5434;width:6616;height:8166;visibility:visible;mso-wrap-style:square;v-text-anchor:top" coordsize="661670,816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" path="m661060,l450545,,332460,336397,211289,,,,,816584r12687,l44880,812896r61595,-9285l172440,790905r,-381457l247865,772083r44976,-12684l424700,720471,489381,409448r,290931l531337,687682r42550,-12052l617104,664678r43956,-9397l661060,xe" fillcolor="#3b789e" stroked="f">
                  <v:path arrowok="t"/>
                </v:shape>
                <v:shape id="Graphic 4" o:spid="_x0000_s1028" style="position:absolute;top:12760;width:6616;height:3181;visibility:visible;mso-wrap-style:square;v-text-anchor:top" coordsize="66167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" path="m661060,l608565,11309,557109,24752,506575,39547,456844,54914,397399,73208,284376,106321r-50731,14128l183357,133068r-50350,10568l68860,154433,,162763,,318046r42835,-4178l84137,308457r39578,-6249l161378,295516r56022,-11738l272518,269995r54215,-15059l441786,221240,543379,189887r39568,-11837l622112,167199r38948,-9491l661060,xe" fillcolor="#72bfd2" stroked="f">
                  <v:path arrowok="t"/>
                </v:shape>
                <v:shape id="Graphic 5" o:spid="_x0000_s1029" style="position:absolute;top:15134;width:6616;height:3181;visibility:visible;mso-wrap-style:square;v-text-anchor:top" coordsize="661670,31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" path="m661060,l608565,11309,557109,24752,506575,39547,456844,54914,397399,73208,284376,106321r-50731,14128l183357,133068r-50350,10568l68860,154433,,162763,,318046r42835,-4183l84137,308452r39578,-6246l161378,295516r56022,-11738l272518,269995r54215,-15059l441786,221240,543379,189887r39568,-11837l622112,167199r38948,-9491l661060,xe" fillcolor="#0b293a" stroked="f">
                  <v:path arrowok="t"/>
                </v:shape>
                <v:shape id="Graphic 6" o:spid="_x0000_s1030" style="position:absolute;top:2097;width:6616;height:2578;visibility:visible;mso-wrap-style:square;v-text-anchor:top" coordsize="661670,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" path="m661060,l,139141,,257365r212369,l227189,219973r26018,-29847l287877,170359r40773,-7152l369416,170359r34666,19767l430098,219973r14821,37392l661060,257365,661060,xe" fillcolor="#72bfd2"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31" type="#_x0000_t75" style="position:absolute;left:2733;top:4572;width:1144;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">
                  <v:imagedata r:id="rId6" o:title=""/>
                </v:shape>
                <v:shape id="Graphic 8" o:spid="_x0000_s1032" style="position:absolute;width:6616;height:2692;visibility:visible;mso-wrap-style:square;v-text-anchor:top" coordsize="661670,26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" path="m661060,l,,,268871,661060,129730,661060,xe" fillcolor="#0b293a" stroked="f">
                  <v:path arrowok="t"/>
                </v:shape>
                <w10:anchorlock/>
              </v:group>
            </w:pict>
          </mc:Fallback>
        </mc:AlternateContent>
      </w:r>
    </w:p>
    <w:p w14:paraId="6B625A62" w14:textId="50F94FD8" w:rsidR="00BC2481" w:rsidRDefault="00461112" w:rsidP="00BC2481">
      <w:pPr>
        <w:spacing w:before="41"/>
        <w:ind w:left="360"/>
        <w:jc w:val="center"/>
        <w:rPr>
          <w:rFonts w:ascii="Poppins Black"/>
          <w:b/>
          <w:i/>
        </w:rPr>
      </w:pPr>
      <w:r>
        <w:rPr>
          <w:rFonts w:ascii="Poppins Black"/>
          <w:b/>
          <w:color w:val="3B789E"/>
          <w:spacing w:val="-2"/>
          <w:sz w:val="26"/>
        </w:rPr>
        <w:t>MICHIGAN ST</w:t>
      </w:r>
      <w:r w:rsidR="00BC2481">
        <w:rPr>
          <w:rFonts w:ascii="Poppins Black"/>
          <w:b/>
          <w:i/>
          <w:color w:val="21324C"/>
          <w:spacing w:val="-2"/>
        </w:rPr>
        <w:t>.</w:t>
      </w:r>
    </w:p>
    <w:p w14:paraId="33B9572C" w14:textId="3C12EBC9" w:rsidR="00A31A9B" w:rsidRPr="00461112" w:rsidRDefault="00A31A9B" w:rsidP="00461112">
      <w:pPr>
        <w:jc w:val="center"/>
        <w:rPr>
          <w:b/>
          <w:bCs/>
        </w:rPr>
      </w:pPr>
      <w:r w:rsidRPr="00BC2481">
        <w:rPr>
          <w:b/>
          <w:bCs/>
        </w:rPr>
        <w:t>Strategic Facilitator RFP Questions</w:t>
      </w:r>
    </w:p>
    <w:p w14:paraId="2F0E5802" w14:textId="28788671" w:rsidR="00BC2481" w:rsidRPr="00BC2481" w:rsidRDefault="00BC2481" w:rsidP="00BC2481">
      <w:pPr>
        <w:rPr>
          <w:b/>
          <w:bCs/>
        </w:rPr>
      </w:pPr>
      <w:r w:rsidRPr="00BC2481">
        <w:rPr>
          <w:b/>
          <w:bCs/>
        </w:rPr>
        <w:t>Question 1</w:t>
      </w:r>
    </w:p>
    <w:p w14:paraId="47DADD93" w14:textId="0EFD861A" w:rsidR="00A31A9B" w:rsidRDefault="00A31A9B" w:rsidP="00BC2481">
      <w:pPr>
        <w:jc w:val="both"/>
      </w:pPr>
      <w:r w:rsidRPr="00A31A9B">
        <w:t>Has MSCIA identified key stakeholders and institutional partners to be engaged as part of this process, or should stakeholder identification and outreach be included within the consultant's scope of work? If stakeholders and partners have been identified, is there an estimated total participant count for planning purposes?</w:t>
      </w:r>
    </w:p>
    <w:p w14:paraId="4E206AB2" w14:textId="5826DA26" w:rsidR="00F634D3" w:rsidRDefault="00BC2481" w:rsidP="00BC2481">
      <w:pPr>
        <w:jc w:val="both"/>
        <w:rPr>
          <w:b/>
          <w:bCs/>
        </w:rPr>
      </w:pPr>
      <w:r w:rsidRPr="00BC2481">
        <w:rPr>
          <w:b/>
          <w:bCs/>
        </w:rPr>
        <w:t>Response</w:t>
      </w:r>
      <w:r w:rsidR="00F634D3">
        <w:rPr>
          <w:b/>
          <w:bCs/>
        </w:rPr>
        <w:t>:</w:t>
      </w:r>
    </w:p>
    <w:p w14:paraId="2513E48B" w14:textId="34B5B046" w:rsidR="00BC2481" w:rsidRDefault="00BC2481" w:rsidP="00F634D3">
      <w:pPr>
        <w:ind w:left="720"/>
        <w:jc w:val="both"/>
      </w:pPr>
      <w:r w:rsidRPr="00BC2481">
        <w:t xml:space="preserve">Key institutional </w:t>
      </w:r>
      <w:r>
        <w:t>partners</w:t>
      </w:r>
      <w:r w:rsidRPr="00BC2481">
        <w:t xml:space="preserve"> (healthcare and educational institutions) and primary corridor stakeholders have been broadly identified. However, the selected consultant will be expected to help refine the final list of engaged stakeholders and facilitate targeted outreach as needed.</w:t>
      </w:r>
      <w:r>
        <w:t xml:space="preserve"> We anticipat</w:t>
      </w:r>
      <w:r w:rsidR="00F841FD">
        <w:t xml:space="preserve">e </w:t>
      </w:r>
      <w:r w:rsidR="00F634D3">
        <w:t>approximately</w:t>
      </w:r>
      <w:r w:rsidR="00F841FD">
        <w:t xml:space="preserve"> 15 and 2</w:t>
      </w:r>
      <w:r>
        <w:t>5</w:t>
      </w:r>
      <w:r w:rsidR="00F841FD">
        <w:t xml:space="preserve"> people (</w:t>
      </w:r>
      <w:r>
        <w:t>board members, staff, and core external partners</w:t>
      </w:r>
      <w:r w:rsidR="00697FA8">
        <w:t>).</w:t>
      </w:r>
    </w:p>
    <w:p w14:paraId="516F204A" w14:textId="5BCDD5B4" w:rsidR="00BC2481" w:rsidRPr="00BC2481" w:rsidRDefault="00BC2481" w:rsidP="00BC2481">
      <w:pPr>
        <w:jc w:val="both"/>
        <w:rPr>
          <w:b/>
          <w:bCs/>
        </w:rPr>
      </w:pPr>
      <w:r w:rsidRPr="00BC2481">
        <w:rPr>
          <w:b/>
          <w:bCs/>
        </w:rPr>
        <w:t>Question 2</w:t>
      </w:r>
    </w:p>
    <w:p w14:paraId="5BB61F53" w14:textId="0AEB2332" w:rsidR="00BC2481" w:rsidRPr="00E928E5" w:rsidRDefault="00A31A9B" w:rsidP="00BC2481">
      <w:pPr>
        <w:jc w:val="both"/>
      </w:pPr>
      <w:r w:rsidRPr="00A31A9B">
        <w:t>The RFP references the existing TIF and Development Plan, Michigan Street corridor priorities, and City of Grand Rapids strategic and equitable economic development goals. Are there additional plans, studies, capital projects, redevelopment initiatives, or existing MSCIA programs that the selected consultant should use as foundational materials, and will those materials be provided to the consultant?</w:t>
      </w:r>
    </w:p>
    <w:p w14:paraId="4BE05789" w14:textId="76AE60A4" w:rsidR="00BC2481" w:rsidRPr="00E928E5" w:rsidRDefault="00BC2481" w:rsidP="00BC2481">
      <w:pPr>
        <w:jc w:val="both"/>
        <w:rPr>
          <w:b/>
          <w:bCs/>
        </w:rPr>
      </w:pPr>
      <w:r w:rsidRPr="00E928E5">
        <w:rPr>
          <w:b/>
          <w:bCs/>
        </w:rPr>
        <w:t>Response:</w:t>
      </w:r>
    </w:p>
    <w:p w14:paraId="14059884" w14:textId="21C4D2A7" w:rsidR="00BC2481" w:rsidRDefault="00BC2481" w:rsidP="00F634D3">
      <w:pPr>
        <w:ind w:left="720"/>
        <w:jc w:val="both"/>
      </w:pPr>
      <w:r>
        <w:t>Foundational materials for M</w:t>
      </w:r>
      <w:r w:rsidR="00F634D3">
        <w:t>SCIA</w:t>
      </w:r>
      <w:r>
        <w:t xml:space="preserve"> are listed below. </w:t>
      </w:r>
    </w:p>
    <w:p w14:paraId="77733A72" w14:textId="5999AB7E" w:rsidR="00697FA8" w:rsidRDefault="00697FA8" w:rsidP="00F634D3">
      <w:pPr>
        <w:ind w:left="720"/>
      </w:pPr>
      <w:hyperlink r:id="rId7" w:history="1">
        <w:r w:rsidR="00E928E5">
          <w:rPr>
            <w:rStyle w:val="Hyperlink"/>
          </w:rPr>
          <w:t>Michigan Street CIA Tax Increment and Development Plan</w:t>
        </w:r>
      </w:hyperlink>
    </w:p>
    <w:p w14:paraId="0DFD2315" w14:textId="47C45CFF" w:rsidR="00E928E5" w:rsidRDefault="00E928E5" w:rsidP="00F634D3">
      <w:pPr>
        <w:ind w:left="720"/>
      </w:pPr>
      <w:hyperlink r:id="rId8" w:history="1">
        <w:r w:rsidRPr="00E928E5">
          <w:rPr>
            <w:rStyle w:val="Hyperlink"/>
          </w:rPr>
          <w:t>Michigan Street CIA Map</w:t>
        </w:r>
      </w:hyperlink>
    </w:p>
    <w:p w14:paraId="07FB90C9" w14:textId="154B0A14" w:rsidR="00E928E5" w:rsidRDefault="00E928E5" w:rsidP="00F634D3">
      <w:pPr>
        <w:ind w:left="720"/>
      </w:pPr>
      <w:hyperlink r:id="rId9" w:history="1">
        <w:r w:rsidRPr="00E928E5">
          <w:rPr>
            <w:rStyle w:val="Hyperlink"/>
          </w:rPr>
          <w:t>Equitable Economic Development and Mobility Strategic Plan</w:t>
        </w:r>
      </w:hyperlink>
    </w:p>
    <w:p w14:paraId="7AC03CD1" w14:textId="02DB9CF7" w:rsidR="00697FA8" w:rsidRDefault="00697FA8" w:rsidP="00C019A8">
      <w:pPr>
        <w:ind w:left="720"/>
        <w:jc w:val="both"/>
      </w:pPr>
      <w:r>
        <w:lastRenderedPageBreak/>
        <w:t>M</w:t>
      </w:r>
      <w:r w:rsidR="00F634D3">
        <w:t>SCIA</w:t>
      </w:r>
      <w:r w:rsidR="00E928E5">
        <w:t xml:space="preserve"> Incentive Programs</w:t>
      </w:r>
      <w:r>
        <w:t xml:space="preserve"> </w:t>
      </w:r>
      <w:r w:rsidR="00E928E5">
        <w:t>are listed below</w:t>
      </w:r>
    </w:p>
    <w:p w14:paraId="32F0FD00" w14:textId="407D94F9" w:rsidR="00697FA8" w:rsidRPr="00E928E5" w:rsidRDefault="00E928E5" w:rsidP="00F634D3">
      <w:pPr>
        <w:ind w:left="720"/>
        <w:rPr>
          <w:rStyle w:val="Hyperlink"/>
        </w:rPr>
      </w:pPr>
      <w:r>
        <w:fldChar w:fldCharType="begin"/>
      </w:r>
      <w:r>
        <w:instrText>HYPERLINK "https://mistreet.org/our-programs/facade-improvement-program/"</w:instrText>
      </w:r>
      <w:r>
        <w:fldChar w:fldCharType="separate"/>
      </w:r>
      <w:r w:rsidRPr="00E928E5">
        <w:rPr>
          <w:rStyle w:val="Hyperlink"/>
        </w:rPr>
        <w:t>Michigan Street CIA Façade Improvement Program</w:t>
      </w:r>
    </w:p>
    <w:p w14:paraId="49506FC0" w14:textId="1453097E" w:rsidR="00697FA8" w:rsidRPr="00E928E5" w:rsidRDefault="00E928E5" w:rsidP="00F634D3">
      <w:pPr>
        <w:ind w:left="720"/>
        <w:rPr>
          <w:rStyle w:val="Hyperlink"/>
        </w:rPr>
      </w:pPr>
      <w:r>
        <w:fldChar w:fldCharType="end"/>
      </w:r>
      <w:r>
        <w:fldChar w:fldCharType="begin"/>
      </w:r>
      <w:r>
        <w:instrText>HYPERLINK "https://mistreet.org/our-programs/mural-program/"</w:instrText>
      </w:r>
      <w:r>
        <w:fldChar w:fldCharType="separate"/>
      </w:r>
      <w:r w:rsidRPr="00E928E5">
        <w:rPr>
          <w:rStyle w:val="Hyperlink"/>
        </w:rPr>
        <w:t>Michigan Street CIA Mural Program</w:t>
      </w:r>
    </w:p>
    <w:p w14:paraId="40D81065" w14:textId="1EBBEAFB" w:rsidR="00E928E5" w:rsidRDefault="00E928E5" w:rsidP="00F634D3">
      <w:pPr>
        <w:ind w:left="720"/>
      </w:pPr>
      <w:r>
        <w:fldChar w:fldCharType="end"/>
      </w:r>
      <w:hyperlink r:id="rId10" w:history="1">
        <w:r>
          <w:rPr>
            <w:rStyle w:val="Hyperlink"/>
          </w:rPr>
          <w:t>Michigan Street CIA Outdoor Activation Program</w:t>
        </w:r>
      </w:hyperlink>
    </w:p>
    <w:p w14:paraId="0CF81627" w14:textId="2DB8E017" w:rsidR="00C019A8" w:rsidRDefault="00697FA8" w:rsidP="00C019A8">
      <w:pPr>
        <w:ind w:left="720"/>
      </w:pPr>
      <w:r>
        <w:t xml:space="preserve">Applicants are </w:t>
      </w:r>
      <w:r w:rsidR="00C019A8">
        <w:t xml:space="preserve">also </w:t>
      </w:r>
      <w:r>
        <w:t>encouraged to</w:t>
      </w:r>
      <w:r w:rsidR="00B41A8A">
        <w:t xml:space="preserve"> </w:t>
      </w:r>
      <w:r w:rsidR="00C019A8">
        <w:t>draw from relevant</w:t>
      </w:r>
      <w:r w:rsidR="00B41A8A">
        <w:t xml:space="preserve"> research</w:t>
      </w:r>
      <w:r w:rsidR="00C019A8">
        <w:t xml:space="preserve">, national best practices, and comparative case studies from other cities to inform analysis and proposed strategies. </w:t>
      </w:r>
    </w:p>
    <w:p w14:paraId="68E48031" w14:textId="68B543D4" w:rsidR="00E928E5" w:rsidRPr="00E928E5" w:rsidRDefault="00E928E5" w:rsidP="00C019A8">
      <w:pPr>
        <w:rPr>
          <w:b/>
          <w:bCs/>
        </w:rPr>
      </w:pPr>
      <w:r w:rsidRPr="00E928E5">
        <w:rPr>
          <w:b/>
          <w:bCs/>
        </w:rPr>
        <w:t>Question 3</w:t>
      </w:r>
    </w:p>
    <w:p w14:paraId="2AAF98C4" w14:textId="6DAA7BB5" w:rsidR="00A31A9B" w:rsidRDefault="00A31A9B" w:rsidP="00E928E5">
      <w:pPr>
        <w:jc w:val="both"/>
      </w:pPr>
      <w:r w:rsidRPr="00A31A9B">
        <w:t>Does MSCIA have a preferred format for the Strategic Roadmap and Actionable Workplan deliverables (e.g., visual roadmap, implementation matrix, scorecard, dashboard, or another format), or is the consultant encouraged to recommend the most effective format?</w:t>
      </w:r>
    </w:p>
    <w:p w14:paraId="11CFE2B1" w14:textId="77777777" w:rsidR="00E928E5" w:rsidRPr="00E928E5" w:rsidRDefault="00E928E5" w:rsidP="00E928E5">
      <w:pPr>
        <w:jc w:val="both"/>
        <w:rPr>
          <w:b/>
          <w:bCs/>
        </w:rPr>
      </w:pPr>
      <w:r w:rsidRPr="00E928E5">
        <w:rPr>
          <w:b/>
          <w:bCs/>
        </w:rPr>
        <w:t>Response:</w:t>
      </w:r>
    </w:p>
    <w:p w14:paraId="529CF0BD" w14:textId="5B065CD0" w:rsidR="000E66DC" w:rsidRDefault="00E928E5" w:rsidP="00F634D3">
      <w:pPr>
        <w:ind w:left="720"/>
        <w:jc w:val="both"/>
      </w:pPr>
      <w:r w:rsidRPr="00E928E5">
        <w:t>MSCIA does not require a rigid, pre-defined format. The deliverable must include a clear 3–</w:t>
      </w:r>
      <w:r w:rsidRPr="00E928E5">
        <w:t>5-year</w:t>
      </w:r>
      <w:r w:rsidRPr="00E928E5">
        <w:t xml:space="preserve"> strategic roadmap and an actionable workplan/scorecard. Consultants are encouraged to recommend and design the visual formats, implementation matrices, or dashboards they believe will best support long-term accountability and clear communication</w:t>
      </w:r>
      <w:r w:rsidR="000E66DC">
        <w:t>.</w:t>
      </w:r>
    </w:p>
    <w:p w14:paraId="0E37F732" w14:textId="77777777" w:rsidR="000E66DC" w:rsidRPr="000E66DC" w:rsidRDefault="000E66DC" w:rsidP="000E66DC">
      <w:pPr>
        <w:jc w:val="both"/>
        <w:rPr>
          <w:b/>
          <w:bCs/>
        </w:rPr>
      </w:pPr>
      <w:r w:rsidRPr="000E66DC">
        <w:rPr>
          <w:b/>
          <w:bCs/>
        </w:rPr>
        <w:t>Question 4</w:t>
      </w:r>
    </w:p>
    <w:p w14:paraId="4C450C6D" w14:textId="69416E79" w:rsidR="00A31A9B" w:rsidRDefault="00A31A9B" w:rsidP="000E66DC">
      <w:pPr>
        <w:jc w:val="both"/>
      </w:pPr>
      <w:r w:rsidRPr="00A31A9B">
        <w:t>Should consultants include the costs associated with meeting logistics, such as venue, refreshments, supplies, printing, and facilitation materials, in their proposed fee, or will these expenses be provided directly by MSCIA?</w:t>
      </w:r>
    </w:p>
    <w:p w14:paraId="333C8ADF" w14:textId="658BBC38" w:rsidR="000E66DC" w:rsidRPr="000E66DC" w:rsidRDefault="000E66DC" w:rsidP="00B41A8A">
      <w:pPr>
        <w:rPr>
          <w:b/>
          <w:bCs/>
        </w:rPr>
      </w:pPr>
      <w:r w:rsidRPr="000E66DC">
        <w:rPr>
          <w:b/>
          <w:bCs/>
        </w:rPr>
        <w:t>Response</w:t>
      </w:r>
      <w:r w:rsidR="00F634D3">
        <w:rPr>
          <w:b/>
          <w:bCs/>
        </w:rPr>
        <w:t>:</w:t>
      </w:r>
    </w:p>
    <w:p w14:paraId="580B849D" w14:textId="378AD465" w:rsidR="000E66DC" w:rsidRDefault="00B41A8A" w:rsidP="00F634D3">
      <w:pPr>
        <w:ind w:left="720"/>
        <w:jc w:val="both"/>
      </w:pPr>
      <w:r>
        <w:t xml:space="preserve">The MSCIA will organize the venue and refreshments. </w:t>
      </w:r>
      <w:r w:rsidR="000E66DC" w:rsidRPr="000E66DC">
        <w:t>Consultants should include the cost of specialized facilitation materials, printing, and workshop tools within their proposed fee structure</w:t>
      </w:r>
      <w:r w:rsidR="000E66DC">
        <w:t>.</w:t>
      </w:r>
    </w:p>
    <w:p w14:paraId="73ECFB05" w14:textId="77777777" w:rsidR="000E66DC" w:rsidRPr="000E66DC" w:rsidRDefault="000E66DC" w:rsidP="00F634D3">
      <w:pPr>
        <w:jc w:val="both"/>
        <w:rPr>
          <w:b/>
          <w:bCs/>
        </w:rPr>
      </w:pPr>
      <w:r w:rsidRPr="000E66DC">
        <w:rPr>
          <w:b/>
          <w:bCs/>
        </w:rPr>
        <w:t>Question 5</w:t>
      </w:r>
    </w:p>
    <w:p w14:paraId="1C423CA7" w14:textId="062927EA" w:rsidR="00A31A9B" w:rsidRDefault="00A31A9B" w:rsidP="00F634D3">
      <w:pPr>
        <w:jc w:val="both"/>
      </w:pPr>
      <w:r w:rsidRPr="00A31A9B">
        <w:t>Is the primary objective to develop recommendations for Board consideration, or is the facilitation process expected to culminate in Board consensus and adoption of strategic priorities?</w:t>
      </w:r>
    </w:p>
    <w:p w14:paraId="4D683309" w14:textId="77777777" w:rsidR="00F634D3" w:rsidRDefault="00F634D3" w:rsidP="00F634D3">
      <w:pPr>
        <w:jc w:val="both"/>
      </w:pPr>
    </w:p>
    <w:p w14:paraId="33B0A39C" w14:textId="317AC4C0" w:rsidR="000E66DC" w:rsidRPr="00F634D3" w:rsidRDefault="000E66DC" w:rsidP="000E66DC">
      <w:pPr>
        <w:rPr>
          <w:b/>
          <w:bCs/>
        </w:rPr>
      </w:pPr>
      <w:r w:rsidRPr="000E66DC">
        <w:rPr>
          <w:b/>
          <w:bCs/>
        </w:rPr>
        <w:lastRenderedPageBreak/>
        <w:t>Response</w:t>
      </w:r>
      <w:r w:rsidR="00F634D3">
        <w:rPr>
          <w:b/>
          <w:bCs/>
        </w:rPr>
        <w:t>:</w:t>
      </w:r>
    </w:p>
    <w:p w14:paraId="2E257429" w14:textId="138EDB72" w:rsidR="000E66DC" w:rsidRDefault="00B41A8A" w:rsidP="00F634D3">
      <w:pPr>
        <w:ind w:left="720"/>
        <w:jc w:val="both"/>
      </w:pPr>
      <w:r>
        <w:t>The MSCIA is looking for both</w:t>
      </w:r>
      <w:r w:rsidR="000E66DC">
        <w:t xml:space="preserve"> outcomes</w:t>
      </w:r>
      <w:r w:rsidR="005F78B3">
        <w:t>.</w:t>
      </w:r>
      <w:r>
        <w:t xml:space="preserve"> </w:t>
      </w:r>
      <w:r w:rsidR="000E66DC" w:rsidRPr="000E66DC">
        <w:t xml:space="preserve">The </w:t>
      </w:r>
      <w:r w:rsidR="008B1D4A">
        <w:t xml:space="preserve">facilitated process aims to build consensus among Board members and staff on strategic priorities and </w:t>
      </w:r>
      <w:r w:rsidR="000E66DC" w:rsidRPr="000E66DC">
        <w:t>align the decision-making body around actionable commitments</w:t>
      </w:r>
      <w:r w:rsidR="000E66DC">
        <w:t xml:space="preserve">. </w:t>
      </w:r>
      <w:r w:rsidR="000E66DC" w:rsidRPr="000E66DC">
        <w:t xml:space="preserve">This consensus will </w:t>
      </w:r>
      <w:r w:rsidR="000E66DC">
        <w:t xml:space="preserve">translate </w:t>
      </w:r>
      <w:r w:rsidR="001B012A">
        <w:t xml:space="preserve">to </w:t>
      </w:r>
      <w:r w:rsidR="001B012A" w:rsidRPr="000E66DC">
        <w:t>a</w:t>
      </w:r>
      <w:r w:rsidR="000E66DC">
        <w:t xml:space="preserve"> defined</w:t>
      </w:r>
      <w:r w:rsidR="000E66DC" w:rsidRPr="000E66DC">
        <w:t xml:space="preserve"> set of recommendations and an actionable strategic roadmap presented </w:t>
      </w:r>
      <w:r w:rsidR="001B012A">
        <w:t>as part of the final deliverable</w:t>
      </w:r>
      <w:r w:rsidR="005F78B3">
        <w:t>s</w:t>
      </w:r>
      <w:r w:rsidR="001B012A">
        <w:t>.</w:t>
      </w:r>
      <w:r w:rsidR="008B1D4A">
        <w:t xml:space="preserve">     </w:t>
      </w:r>
    </w:p>
    <w:p w14:paraId="38901D4E" w14:textId="77777777" w:rsidR="001B012A" w:rsidRPr="001B012A" w:rsidRDefault="001B012A" w:rsidP="000E66DC">
      <w:pPr>
        <w:rPr>
          <w:b/>
          <w:bCs/>
        </w:rPr>
      </w:pPr>
      <w:r w:rsidRPr="001B012A">
        <w:rPr>
          <w:b/>
          <w:bCs/>
        </w:rPr>
        <w:t>Question 6</w:t>
      </w:r>
    </w:p>
    <w:p w14:paraId="341D8B8A" w14:textId="4214F1E1" w:rsidR="00A31A9B" w:rsidRDefault="00A31A9B" w:rsidP="000E66DC">
      <w:r w:rsidRPr="00A31A9B">
        <w:t>Does MSCIA have an anticipated budget or cost range for this scope of work, and if so, are you able to share it?</w:t>
      </w:r>
    </w:p>
    <w:p w14:paraId="35505824" w14:textId="6A8EBB89" w:rsidR="001B012A" w:rsidRPr="001B012A" w:rsidRDefault="001B012A" w:rsidP="00B41A8A">
      <w:pPr>
        <w:rPr>
          <w:b/>
          <w:bCs/>
        </w:rPr>
      </w:pPr>
      <w:r w:rsidRPr="001B012A">
        <w:rPr>
          <w:b/>
          <w:bCs/>
        </w:rPr>
        <w:t>Response</w:t>
      </w:r>
      <w:r w:rsidR="00F634D3">
        <w:rPr>
          <w:b/>
          <w:bCs/>
        </w:rPr>
        <w:t>:</w:t>
      </w:r>
    </w:p>
    <w:p w14:paraId="7ED69DD4" w14:textId="1999CB24" w:rsidR="001B012A" w:rsidRDefault="0082182D" w:rsidP="008B1D4A">
      <w:pPr>
        <w:ind w:left="720"/>
        <w:jc w:val="both"/>
      </w:pPr>
      <w:r>
        <w:t>The board has set</w:t>
      </w:r>
      <w:r w:rsidR="00B41A8A">
        <w:t xml:space="preserve"> no fixed budget.</w:t>
      </w:r>
      <w:r w:rsidR="001B012A">
        <w:t xml:space="preserve"> </w:t>
      </w:r>
      <w:r w:rsidR="001B012A" w:rsidRPr="001B012A">
        <w:t xml:space="preserve">Applicants </w:t>
      </w:r>
      <w:r w:rsidR="001B012A">
        <w:t>should</w:t>
      </w:r>
      <w:r w:rsidR="001B012A" w:rsidRPr="001B012A">
        <w:t xml:space="preserve"> </w:t>
      </w:r>
      <w:r w:rsidR="001B012A">
        <w:t xml:space="preserve">provide competitive and </w:t>
      </w:r>
      <w:r w:rsidR="001B012A">
        <w:t xml:space="preserve">comprehensive </w:t>
      </w:r>
      <w:r w:rsidR="00461112">
        <w:t>budgets</w:t>
      </w:r>
      <w:r w:rsidR="001B012A">
        <w:t xml:space="preserve"> </w:t>
      </w:r>
      <w:r w:rsidR="001B012A" w:rsidRPr="001B012A">
        <w:t>reflective of their experience, methodology, and the scope outlined in the RFP. Proposals will be evaluated on overall approach, quality, and value.</w:t>
      </w:r>
      <w:r w:rsidR="00B41A8A">
        <w:t xml:space="preserve"> </w:t>
      </w:r>
    </w:p>
    <w:p w14:paraId="3D0482A8" w14:textId="77777777" w:rsidR="001B012A" w:rsidRPr="001B012A" w:rsidRDefault="001B012A" w:rsidP="001B012A">
      <w:pPr>
        <w:rPr>
          <w:b/>
          <w:bCs/>
        </w:rPr>
      </w:pPr>
      <w:r w:rsidRPr="001B012A">
        <w:rPr>
          <w:b/>
          <w:bCs/>
        </w:rPr>
        <w:t>Question 7</w:t>
      </w:r>
    </w:p>
    <w:p w14:paraId="3004BDD7" w14:textId="0822E053" w:rsidR="00A31A9B" w:rsidRDefault="00A31A9B" w:rsidP="001B012A">
      <w:r w:rsidRPr="00A31A9B">
        <w:t>Would MSCIA prefer one full-day session or two half-day sessions, and must facilitation occur in person?</w:t>
      </w:r>
    </w:p>
    <w:p w14:paraId="1409E1FC" w14:textId="00BD5A6E" w:rsidR="001B012A" w:rsidRPr="001B012A" w:rsidRDefault="001B012A" w:rsidP="00B41A8A">
      <w:pPr>
        <w:rPr>
          <w:b/>
          <w:bCs/>
        </w:rPr>
      </w:pPr>
      <w:r w:rsidRPr="001B012A">
        <w:rPr>
          <w:b/>
          <w:bCs/>
        </w:rPr>
        <w:t>Response</w:t>
      </w:r>
      <w:r w:rsidR="00F634D3">
        <w:rPr>
          <w:b/>
          <w:bCs/>
        </w:rPr>
        <w:t>:</w:t>
      </w:r>
    </w:p>
    <w:p w14:paraId="37E6888C" w14:textId="686BCF31" w:rsidR="00B41A8A" w:rsidRDefault="00B41A8A" w:rsidP="00F634D3">
      <w:pPr>
        <w:ind w:left="720"/>
      </w:pPr>
      <w:r>
        <w:t>The MSCIA</w:t>
      </w:r>
      <w:r w:rsidR="001B012A">
        <w:t xml:space="preserve"> </w:t>
      </w:r>
      <w:r w:rsidR="001B012A" w:rsidRPr="001B012A">
        <w:t>welcomes the consultant’s recommendation on which structure best fosters focus and consensus.</w:t>
      </w:r>
      <w:r>
        <w:t xml:space="preserve"> </w:t>
      </w:r>
      <w:r w:rsidR="00A320AA">
        <w:t xml:space="preserve"> </w:t>
      </w:r>
    </w:p>
    <w:sectPr w:rsidR="00B41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Black">
    <w:altName w:val="Poppins Black"/>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D3331"/>
    <w:multiLevelType w:val="multilevel"/>
    <w:tmpl w:val="4A50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5E35E2"/>
    <w:multiLevelType w:val="multilevel"/>
    <w:tmpl w:val="C890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FA4869"/>
    <w:multiLevelType w:val="multilevel"/>
    <w:tmpl w:val="5A50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A6223A"/>
    <w:multiLevelType w:val="multilevel"/>
    <w:tmpl w:val="6C24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600CBC"/>
    <w:multiLevelType w:val="multilevel"/>
    <w:tmpl w:val="8EA2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3608254">
    <w:abstractNumId w:val="4"/>
  </w:num>
  <w:num w:numId="2" w16cid:durableId="1671710518">
    <w:abstractNumId w:val="2"/>
  </w:num>
  <w:num w:numId="3" w16cid:durableId="729688441">
    <w:abstractNumId w:val="0"/>
  </w:num>
  <w:num w:numId="4" w16cid:durableId="1373768508">
    <w:abstractNumId w:val="3"/>
  </w:num>
  <w:num w:numId="5" w16cid:durableId="1314260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A9B"/>
    <w:rsid w:val="000D1BC6"/>
    <w:rsid w:val="000E66DC"/>
    <w:rsid w:val="00147771"/>
    <w:rsid w:val="001B012A"/>
    <w:rsid w:val="003F20E0"/>
    <w:rsid w:val="00461112"/>
    <w:rsid w:val="005F78B3"/>
    <w:rsid w:val="00697FA8"/>
    <w:rsid w:val="007B32DC"/>
    <w:rsid w:val="0082182D"/>
    <w:rsid w:val="008B1D4A"/>
    <w:rsid w:val="008B2328"/>
    <w:rsid w:val="00960A3D"/>
    <w:rsid w:val="00A31A9B"/>
    <w:rsid w:val="00A320AA"/>
    <w:rsid w:val="00B41A8A"/>
    <w:rsid w:val="00BC2481"/>
    <w:rsid w:val="00C019A8"/>
    <w:rsid w:val="00E928E5"/>
    <w:rsid w:val="00F634D3"/>
    <w:rsid w:val="00F84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D6D03"/>
  <w15:chartTrackingRefBased/>
  <w15:docId w15:val="{9ED3A1C3-4B3D-4B93-81FC-0EB2F6568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1A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1A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1A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1A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1A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1A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1A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1A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1A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1A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1A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1A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1A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1A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1A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1A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1A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1A9B"/>
    <w:rPr>
      <w:rFonts w:eastAsiaTheme="majorEastAsia" w:cstheme="majorBidi"/>
      <w:color w:val="272727" w:themeColor="text1" w:themeTint="D8"/>
    </w:rPr>
  </w:style>
  <w:style w:type="paragraph" w:styleId="Title">
    <w:name w:val="Title"/>
    <w:basedOn w:val="Normal"/>
    <w:next w:val="Normal"/>
    <w:link w:val="TitleChar"/>
    <w:uiPriority w:val="10"/>
    <w:qFormat/>
    <w:rsid w:val="00A31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1A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1A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1A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1A9B"/>
    <w:pPr>
      <w:spacing w:before="160"/>
      <w:jc w:val="center"/>
    </w:pPr>
    <w:rPr>
      <w:i/>
      <w:iCs/>
      <w:color w:val="404040" w:themeColor="text1" w:themeTint="BF"/>
    </w:rPr>
  </w:style>
  <w:style w:type="character" w:customStyle="1" w:styleId="QuoteChar">
    <w:name w:val="Quote Char"/>
    <w:basedOn w:val="DefaultParagraphFont"/>
    <w:link w:val="Quote"/>
    <w:uiPriority w:val="29"/>
    <w:rsid w:val="00A31A9B"/>
    <w:rPr>
      <w:i/>
      <w:iCs/>
      <w:color w:val="404040" w:themeColor="text1" w:themeTint="BF"/>
    </w:rPr>
  </w:style>
  <w:style w:type="paragraph" w:styleId="ListParagraph">
    <w:name w:val="List Paragraph"/>
    <w:basedOn w:val="Normal"/>
    <w:uiPriority w:val="34"/>
    <w:qFormat/>
    <w:rsid w:val="00A31A9B"/>
    <w:pPr>
      <w:ind w:left="720"/>
      <w:contextualSpacing/>
    </w:pPr>
  </w:style>
  <w:style w:type="character" w:styleId="IntenseEmphasis">
    <w:name w:val="Intense Emphasis"/>
    <w:basedOn w:val="DefaultParagraphFont"/>
    <w:uiPriority w:val="21"/>
    <w:qFormat/>
    <w:rsid w:val="00A31A9B"/>
    <w:rPr>
      <w:i/>
      <w:iCs/>
      <w:color w:val="0F4761" w:themeColor="accent1" w:themeShade="BF"/>
    </w:rPr>
  </w:style>
  <w:style w:type="paragraph" w:styleId="IntenseQuote">
    <w:name w:val="Intense Quote"/>
    <w:basedOn w:val="Normal"/>
    <w:next w:val="Normal"/>
    <w:link w:val="IntenseQuoteChar"/>
    <w:uiPriority w:val="30"/>
    <w:qFormat/>
    <w:rsid w:val="00A31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1A9B"/>
    <w:rPr>
      <w:i/>
      <w:iCs/>
      <w:color w:val="0F4761" w:themeColor="accent1" w:themeShade="BF"/>
    </w:rPr>
  </w:style>
  <w:style w:type="character" w:styleId="IntenseReference">
    <w:name w:val="Intense Reference"/>
    <w:basedOn w:val="DefaultParagraphFont"/>
    <w:uiPriority w:val="32"/>
    <w:qFormat/>
    <w:rsid w:val="00A31A9B"/>
    <w:rPr>
      <w:b/>
      <w:bCs/>
      <w:smallCaps/>
      <w:color w:val="0F4761" w:themeColor="accent1" w:themeShade="BF"/>
      <w:spacing w:val="5"/>
    </w:rPr>
  </w:style>
  <w:style w:type="character" w:styleId="Hyperlink">
    <w:name w:val="Hyperlink"/>
    <w:basedOn w:val="DefaultParagraphFont"/>
    <w:uiPriority w:val="99"/>
    <w:unhideWhenUsed/>
    <w:rsid w:val="00697FA8"/>
    <w:rPr>
      <w:color w:val="467886" w:themeColor="hyperlink"/>
      <w:u w:val="single"/>
    </w:rPr>
  </w:style>
  <w:style w:type="character" w:styleId="UnresolvedMention">
    <w:name w:val="Unresolved Mention"/>
    <w:basedOn w:val="DefaultParagraphFont"/>
    <w:uiPriority w:val="99"/>
    <w:semiHidden/>
    <w:unhideWhenUsed/>
    <w:rsid w:val="00697FA8"/>
    <w:rPr>
      <w:color w:val="605E5C"/>
      <w:shd w:val="clear" w:color="auto" w:fill="E1DFDD"/>
    </w:rPr>
  </w:style>
  <w:style w:type="character" w:styleId="FollowedHyperlink">
    <w:name w:val="FollowedHyperlink"/>
    <w:basedOn w:val="DefaultParagraphFont"/>
    <w:uiPriority w:val="99"/>
    <w:semiHidden/>
    <w:unhideWhenUsed/>
    <w:rsid w:val="00E928E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002-us.cdn.govstack.com/grandrapidsmi-us/media/43wevc32/michigan-street-cia-map.pdf" TargetMode="External"/><Relationship Id="rId3" Type="http://schemas.openxmlformats.org/officeDocument/2006/relationships/settings" Target="settings.xml"/><Relationship Id="rId7" Type="http://schemas.openxmlformats.org/officeDocument/2006/relationships/hyperlink" Target="https://media-002-us.cdn.govstack.com/grandrapidsmi-us/media/yhvjyvb4/michiganstreetciddevelopmentplanandtifplan.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mistreet.org/outdoor-activation-grant-application/" TargetMode="External"/><Relationship Id="rId4" Type="http://schemas.openxmlformats.org/officeDocument/2006/relationships/webSettings" Target="webSettings.xml"/><Relationship Id="rId9" Type="http://schemas.openxmlformats.org/officeDocument/2006/relationships/hyperlink" Target="https://media-002-us.cdn.govstack.com/grandrapidsmi-us/media/0vspjkp2/final-eedms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Carbaugh</dc:creator>
  <cp:keywords/>
  <dc:description/>
  <cp:lastModifiedBy>Narh-Kamara, Verah</cp:lastModifiedBy>
  <cp:revision>9</cp:revision>
  <cp:lastPrinted>2026-09-25T16:27:00Z</cp:lastPrinted>
  <dcterms:created xsi:type="dcterms:W3CDTF">2026-09-25T16:10:00Z</dcterms:created>
  <dcterms:modified xsi:type="dcterms:W3CDTF">2026-09-25T16:30:00Z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d76f9da5-b4b7-4c93-80e5-a1bf163a3f98</vt:lpwstr>
  </property>
</Properties>
</file>