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</w:tblCellMar>
        <w:tblLook w:val="04A0" w:firstRow="1" w:lastRow="0" w:firstColumn="1" w:lastColumn="0" w:noHBand="0" w:noVBand="1"/>
      </w:tblPr>
      <w:tblGrid>
        <w:gridCol w:w="8010"/>
        <w:gridCol w:w="2700"/>
      </w:tblGrid>
      <w:tr w:rsidR="00E61CD6" w14:paraId="27266B88" w14:textId="77777777" w:rsidTr="0086545A">
        <w:trPr>
          <w:trHeight w:val="1254"/>
        </w:trPr>
        <w:tc>
          <w:tcPr>
            <w:tcW w:w="8010" w:type="dxa"/>
            <w:tcBorders>
              <w:right w:val="single" w:sz="4" w:space="0" w:color="005970"/>
            </w:tcBorders>
          </w:tcPr>
          <w:p w14:paraId="756F31CE" w14:textId="77777777" w:rsidR="00E61CD6" w:rsidRDefault="00E61CD6" w:rsidP="0086545A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845AE9F" wp14:editId="3CFB8698">
                  <wp:extent cx="1930532" cy="699715"/>
                  <wp:effectExtent l="0" t="0" r="0" b="0"/>
                  <wp:docPr id="286584586" name="Picture 1" descr="City of Rochester, Minnesot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36035" name="Picture 1" descr="City of Rochester, Minnesota logo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6" t="21371" r="10151" b="22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64" cy="70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left w:val="single" w:sz="4" w:space="0" w:color="005970"/>
            </w:tcBorders>
            <w:vAlign w:val="center"/>
          </w:tcPr>
          <w:p w14:paraId="45D6921D" w14:textId="77777777" w:rsidR="00E61CD6" w:rsidRPr="001C42E7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b/>
                <w:bCs/>
                <w:color w:val="00586F" w:themeColor="text2"/>
                <w:sz w:val="22"/>
                <w:szCs w:val="22"/>
              </w:rPr>
              <w:t>City of Rochester, MN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201 4th Street SE</w:t>
            </w:r>
            <w:r w:rsidRPr="001C42E7">
              <w:rPr>
                <w:color w:val="00586F" w:themeColor="text2"/>
                <w:sz w:val="22"/>
                <w:szCs w:val="22"/>
              </w:rPr>
              <w:br/>
              <w:t>Rochester, 55904</w:t>
            </w:r>
          </w:p>
          <w:p w14:paraId="53B03A20" w14:textId="77777777" w:rsidR="00E61CD6" w:rsidRDefault="00E61CD6" w:rsidP="0086545A">
            <w:pPr>
              <w:pStyle w:val="Header"/>
              <w:ind w:left="207" w:right="-1005"/>
              <w:rPr>
                <w:color w:val="00586F" w:themeColor="text2"/>
                <w:sz w:val="22"/>
                <w:szCs w:val="22"/>
              </w:rPr>
            </w:pPr>
            <w:r w:rsidRPr="001C42E7">
              <w:rPr>
                <w:color w:val="00586F" w:themeColor="text2"/>
                <w:sz w:val="22"/>
                <w:szCs w:val="22"/>
              </w:rPr>
              <w:t>507-328-2900</w:t>
            </w:r>
          </w:p>
          <w:p w14:paraId="2AB2C46E" w14:textId="77777777" w:rsidR="00E61CD6" w:rsidRPr="00926655" w:rsidRDefault="00E61CD6" w:rsidP="0086545A">
            <w:pPr>
              <w:pStyle w:val="Header"/>
              <w:ind w:left="207" w:right="-1005"/>
              <w:rPr>
                <w:color w:val="00586F" w:themeColor="text2"/>
                <w:sz w:val="21"/>
                <w:szCs w:val="21"/>
              </w:rPr>
            </w:pPr>
            <w:r w:rsidRPr="00142A43">
              <w:rPr>
                <w:color w:val="00586F" w:themeColor="text2"/>
                <w:sz w:val="22"/>
                <w:szCs w:val="22"/>
              </w:rPr>
              <w:t>www.rochestermn.gov</w:t>
            </w:r>
          </w:p>
        </w:tc>
      </w:tr>
    </w:tbl>
    <w:p w14:paraId="07F80365" w14:textId="411024C4" w:rsidR="00A7445F" w:rsidRPr="00C85759" w:rsidRDefault="00AC3698" w:rsidP="008C0220">
      <w:pPr>
        <w:pStyle w:val="Title"/>
        <w:jc w:val="center"/>
        <w:rPr>
          <w:i/>
          <w:iCs/>
          <w:sz w:val="28"/>
        </w:rPr>
      </w:pPr>
      <w:r>
        <w:rPr>
          <w:sz w:val="48"/>
          <w:szCs w:val="48"/>
        </w:rPr>
        <w:t>Blood, Bone Marrow, &amp; Organ Donation</w:t>
      </w:r>
    </w:p>
    <w:p w14:paraId="50A6FC01" w14:textId="235F3C56" w:rsidR="00A7445F" w:rsidRDefault="00231133" w:rsidP="008C0220">
      <w:pPr>
        <w:pStyle w:val="Subtitle"/>
        <w:jc w:val="center"/>
      </w:pPr>
      <w:r>
        <w:t>City of Rochester Organizational Policy</w:t>
      </w:r>
      <w:r w:rsidR="0088755C">
        <w:t xml:space="preserve"> </w:t>
      </w:r>
    </w:p>
    <w:p w14:paraId="7A8868FC" w14:textId="6AAD8415" w:rsidR="00776524" w:rsidRPr="007A0EA6" w:rsidRDefault="00231133" w:rsidP="00395D1A">
      <w:pPr>
        <w:pStyle w:val="Heading1"/>
        <w:spacing w:line="240" w:lineRule="auto"/>
        <w:rPr>
          <w:rStyle w:val="SubtleEmphasis"/>
          <w:i w:val="0"/>
          <w:iCs w:val="0"/>
          <w:color w:val="00586F" w:themeColor="text2"/>
          <w:sz w:val="36"/>
          <w:szCs w:val="36"/>
        </w:rPr>
      </w:pPr>
      <w:r w:rsidRPr="007A0EA6">
        <w:rPr>
          <w:rStyle w:val="SubtleEmphasis"/>
          <w:i w:val="0"/>
          <w:iCs w:val="0"/>
          <w:color w:val="00586F" w:themeColor="text2"/>
          <w:sz w:val="36"/>
          <w:szCs w:val="36"/>
        </w:rPr>
        <w:t>Purpose</w:t>
      </w:r>
      <w:r w:rsidR="0088755C">
        <w:rPr>
          <w:rStyle w:val="SubtleEmphasis"/>
          <w:i w:val="0"/>
          <w:iCs w:val="0"/>
          <w:color w:val="00586F" w:themeColor="text2"/>
          <w:sz w:val="36"/>
          <w:szCs w:val="36"/>
        </w:rPr>
        <w:t xml:space="preserve"> </w:t>
      </w:r>
    </w:p>
    <w:p w14:paraId="5AFE9D33" w14:textId="6EB423E6" w:rsidR="00231133" w:rsidRDefault="00FC62E2" w:rsidP="00395D1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It is the intent of the City of Rochester to encourage participation in the Mayo Clinic Blood Donor Program by allowing employees the opportunity to donate blood</w:t>
      </w:r>
      <w:r w:rsidR="00251367">
        <w:rPr>
          <w:sz w:val="22"/>
          <w:szCs w:val="22"/>
        </w:rPr>
        <w:t>. Blood donations include the donation of blood, plasma, or platelets</w:t>
      </w:r>
      <w:r>
        <w:rPr>
          <w:sz w:val="22"/>
          <w:szCs w:val="22"/>
        </w:rPr>
        <w:t xml:space="preserve">. The </w:t>
      </w:r>
      <w:proofErr w:type="gramStart"/>
      <w:r>
        <w:rPr>
          <w:sz w:val="22"/>
          <w:szCs w:val="22"/>
        </w:rPr>
        <w:t>City</w:t>
      </w:r>
      <w:proofErr w:type="gramEnd"/>
      <w:r>
        <w:rPr>
          <w:sz w:val="22"/>
          <w:szCs w:val="22"/>
        </w:rPr>
        <w:t xml:space="preserve"> </w:t>
      </w:r>
      <w:r w:rsidR="00251367">
        <w:rPr>
          <w:sz w:val="22"/>
          <w:szCs w:val="22"/>
        </w:rPr>
        <w:t>will also</w:t>
      </w:r>
      <w:r>
        <w:rPr>
          <w:sz w:val="22"/>
          <w:szCs w:val="22"/>
        </w:rPr>
        <w:t xml:space="preserve"> grant paid leave time to an employee </w:t>
      </w:r>
      <w:r w:rsidR="00AD1F85">
        <w:rPr>
          <w:sz w:val="22"/>
          <w:szCs w:val="22"/>
        </w:rPr>
        <w:t xml:space="preserve">who is </w:t>
      </w:r>
      <w:r>
        <w:rPr>
          <w:sz w:val="22"/>
          <w:szCs w:val="22"/>
        </w:rPr>
        <w:t>seeking to undergo a medical procedure to donate blood marrow or who donates a</w:t>
      </w:r>
      <w:r w:rsidR="00AD1F85">
        <w:rPr>
          <w:sz w:val="22"/>
          <w:szCs w:val="22"/>
        </w:rPr>
        <w:t>n organ</w:t>
      </w:r>
      <w:r w:rsidR="00251367">
        <w:rPr>
          <w:sz w:val="22"/>
          <w:szCs w:val="22"/>
        </w:rPr>
        <w:t xml:space="preserve"> or partial organ</w:t>
      </w:r>
      <w:r w:rsidR="00AD1F85">
        <w:rPr>
          <w:sz w:val="22"/>
          <w:szCs w:val="22"/>
        </w:rPr>
        <w:t>.</w:t>
      </w:r>
    </w:p>
    <w:p w14:paraId="7702D555" w14:textId="465BDDDB" w:rsidR="00AD1F85" w:rsidRDefault="00251367" w:rsidP="00395D1A">
      <w:pPr>
        <w:spacing w:line="240" w:lineRule="auto"/>
        <w:rPr>
          <w:sz w:val="22"/>
          <w:szCs w:val="22"/>
        </w:rPr>
      </w:pPr>
      <w:r w:rsidRPr="00251367">
        <w:rPr>
          <w:sz w:val="22"/>
          <w:szCs w:val="22"/>
        </w:rPr>
        <w:t>Nothing stated in this policy creates an employment contract between the City of Rochester and its employees.</w:t>
      </w:r>
    </w:p>
    <w:p w14:paraId="19651819" w14:textId="13F742C5" w:rsidR="00EC7A3C" w:rsidRDefault="00EC7A3C" w:rsidP="00EB7D19">
      <w:pPr>
        <w:pStyle w:val="Heading1"/>
        <w:rPr>
          <w:rStyle w:val="SubtleEmphasis"/>
          <w:b w:val="0"/>
          <w:bCs w:val="0"/>
          <w:i w:val="0"/>
          <w:iCs w:val="0"/>
          <w:color w:val="00586F" w:themeColor="text2"/>
          <w:sz w:val="36"/>
          <w:szCs w:val="36"/>
        </w:rPr>
      </w:pPr>
      <w:r>
        <w:rPr>
          <w:rStyle w:val="SubtleEmphasis"/>
          <w:i w:val="0"/>
          <w:iCs w:val="0"/>
          <w:color w:val="00586F" w:themeColor="text2"/>
          <w:sz w:val="36"/>
          <w:szCs w:val="36"/>
        </w:rPr>
        <w:t>Eligibility</w:t>
      </w:r>
    </w:p>
    <w:p w14:paraId="7F3740D2" w14:textId="770CCE29" w:rsidR="00EC7A3C" w:rsidRDefault="00EC7A3C" w:rsidP="00395D1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Employees who are classified as regular, benefits eligible </w:t>
      </w:r>
      <w:r w:rsidR="008B5DE7">
        <w:rPr>
          <w:sz w:val="22"/>
          <w:szCs w:val="22"/>
        </w:rPr>
        <w:t>may be</w:t>
      </w:r>
      <w:r>
        <w:rPr>
          <w:sz w:val="22"/>
          <w:szCs w:val="22"/>
        </w:rPr>
        <w:t xml:space="preserve"> eligible for leave </w:t>
      </w:r>
      <w:r w:rsidR="008B5DE7">
        <w:rPr>
          <w:sz w:val="22"/>
          <w:szCs w:val="22"/>
        </w:rPr>
        <w:t>under this policy</w:t>
      </w:r>
      <w:r>
        <w:rPr>
          <w:sz w:val="22"/>
          <w:szCs w:val="22"/>
        </w:rPr>
        <w:t>. Regular, benefits eligible is defined as employees whose length of employment is scheduled to last more than 12 months and who are working 20 hours or more per week.</w:t>
      </w:r>
      <w:r w:rsidR="008B5DE7">
        <w:rPr>
          <w:sz w:val="22"/>
          <w:szCs w:val="22"/>
        </w:rPr>
        <w:t xml:space="preserve"> Employees regularly scheduled to work less than 20 hours per week or hired as a temporary or seasonal employee shall not be eligible for leave under this policy. </w:t>
      </w:r>
      <w:r>
        <w:rPr>
          <w:sz w:val="22"/>
          <w:szCs w:val="22"/>
        </w:rPr>
        <w:t xml:space="preserve"> </w:t>
      </w:r>
    </w:p>
    <w:p w14:paraId="3A3D9852" w14:textId="187DFC6E" w:rsidR="008B5DE7" w:rsidRDefault="008B5DE7" w:rsidP="00395D1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Employees </w:t>
      </w:r>
      <w:r w:rsidR="0091701D">
        <w:rPr>
          <w:sz w:val="22"/>
          <w:szCs w:val="22"/>
        </w:rPr>
        <w:t>requesting</w:t>
      </w:r>
      <w:r>
        <w:rPr>
          <w:sz w:val="22"/>
          <w:szCs w:val="22"/>
        </w:rPr>
        <w:t xml:space="preserve"> leave time for blood donations must have successfully completed their initial probationary period and be in good performance standing at the time of donation. </w:t>
      </w:r>
    </w:p>
    <w:p w14:paraId="64537273" w14:textId="35D5BECE" w:rsidR="00742BB9" w:rsidRDefault="00742BB9" w:rsidP="00EB7D19">
      <w:pPr>
        <w:pStyle w:val="Heading1"/>
        <w:rPr>
          <w:rStyle w:val="SubtleEmphasis"/>
          <w:b w:val="0"/>
          <w:bCs w:val="0"/>
          <w:i w:val="0"/>
          <w:iCs w:val="0"/>
          <w:color w:val="00586F" w:themeColor="text2"/>
          <w:sz w:val="36"/>
          <w:szCs w:val="36"/>
        </w:rPr>
      </w:pPr>
      <w:r>
        <w:rPr>
          <w:rStyle w:val="SubtleEmphasis"/>
          <w:i w:val="0"/>
          <w:iCs w:val="0"/>
          <w:color w:val="00586F" w:themeColor="text2"/>
          <w:sz w:val="36"/>
          <w:szCs w:val="36"/>
        </w:rPr>
        <w:t>Notice Requirements</w:t>
      </w:r>
    </w:p>
    <w:p w14:paraId="58237BDB" w14:textId="6DC56563" w:rsidR="00742BB9" w:rsidRDefault="00742BB9" w:rsidP="00972D4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Eligible employees must provide sufficient notice of donation </w:t>
      </w:r>
      <w:proofErr w:type="gramStart"/>
      <w:r>
        <w:rPr>
          <w:sz w:val="22"/>
          <w:szCs w:val="22"/>
        </w:rPr>
        <w:t>in order to</w:t>
      </w:r>
      <w:proofErr w:type="gramEnd"/>
      <w:r>
        <w:rPr>
          <w:sz w:val="22"/>
          <w:szCs w:val="22"/>
        </w:rPr>
        <w:t xml:space="preserve"> be eligible for leave under this policy. </w:t>
      </w:r>
    </w:p>
    <w:p w14:paraId="0EDE6201" w14:textId="0D07CCC0" w:rsidR="00742BB9" w:rsidRDefault="00742BB9" w:rsidP="00742BB9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Blood Donation</w:t>
      </w:r>
    </w:p>
    <w:p w14:paraId="5828E057" w14:textId="6FBB2A6B" w:rsidR="00742BB9" w:rsidRDefault="00742BB9" w:rsidP="00972D4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Requests for time off to donate blood will be balanced with the needs of the business, including adequate staffing levels, the needs of the community, and other work requirements. </w:t>
      </w:r>
      <w:r w:rsidR="005C11F8">
        <w:rPr>
          <w:sz w:val="22"/>
          <w:szCs w:val="22"/>
        </w:rPr>
        <w:t xml:space="preserve">Blood donation leave cannot result in departmental or personal overtime. </w:t>
      </w:r>
      <w:r>
        <w:rPr>
          <w:sz w:val="22"/>
          <w:szCs w:val="22"/>
        </w:rPr>
        <w:t xml:space="preserve">Supervisory approval must be obtained by the employee at least </w:t>
      </w:r>
      <w:r w:rsidR="00B101EB">
        <w:rPr>
          <w:sz w:val="22"/>
          <w:szCs w:val="22"/>
        </w:rPr>
        <w:t>2</w:t>
      </w:r>
      <w:r>
        <w:rPr>
          <w:sz w:val="22"/>
          <w:szCs w:val="22"/>
        </w:rPr>
        <w:t xml:space="preserve"> days in advance of the donation day </w:t>
      </w:r>
      <w:proofErr w:type="gramStart"/>
      <w:r>
        <w:rPr>
          <w:sz w:val="22"/>
          <w:szCs w:val="22"/>
        </w:rPr>
        <w:t>in order to</w:t>
      </w:r>
      <w:proofErr w:type="gramEnd"/>
      <w:r>
        <w:rPr>
          <w:sz w:val="22"/>
          <w:szCs w:val="22"/>
        </w:rPr>
        <w:t xml:space="preserve"> receive the paid leave. </w:t>
      </w:r>
    </w:p>
    <w:p w14:paraId="0C5ABAA0" w14:textId="21508C96" w:rsidR="00B101EB" w:rsidRDefault="00B101EB" w:rsidP="00972D4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Any employee determined to be abusing the provisions of the blood donation leave shall be subject to disciplinary action, up to and including termination.</w:t>
      </w:r>
    </w:p>
    <w:p w14:paraId="1C278CFE" w14:textId="1473B43A" w:rsidR="00742BB9" w:rsidRDefault="00742BB9" w:rsidP="00742BB9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Bone Marrow and Organ Donation</w:t>
      </w:r>
    </w:p>
    <w:p w14:paraId="5B53FBA1" w14:textId="2DB0CEC4" w:rsidR="007B052C" w:rsidRDefault="00D003D6" w:rsidP="008B5DE7">
      <w:pPr>
        <w:spacing w:line="240" w:lineRule="auto"/>
        <w:rPr>
          <w:sz w:val="22"/>
          <w:szCs w:val="22"/>
        </w:rPr>
      </w:pPr>
      <w:r w:rsidRPr="6B789999">
        <w:rPr>
          <w:sz w:val="22"/>
          <w:szCs w:val="22"/>
        </w:rPr>
        <w:t xml:space="preserve">Employees </w:t>
      </w:r>
      <w:r w:rsidR="0091701D" w:rsidRPr="6B789999">
        <w:rPr>
          <w:sz w:val="22"/>
          <w:szCs w:val="22"/>
        </w:rPr>
        <w:t xml:space="preserve">undergoing a medical procedure to donate bone marrow or an organ must provide advance written notice to their supervisor and the human resources benefits team via email at </w:t>
      </w:r>
      <w:hyperlink r:id="rId12">
        <w:r w:rsidR="0091701D" w:rsidRPr="6B789999">
          <w:rPr>
            <w:rStyle w:val="Hyperlink"/>
            <w:sz w:val="22"/>
            <w:szCs w:val="22"/>
          </w:rPr>
          <w:t>benefits@rochestermn.gov</w:t>
        </w:r>
      </w:hyperlink>
      <w:r w:rsidR="007B052C" w:rsidRPr="6B789999">
        <w:rPr>
          <w:sz w:val="22"/>
          <w:szCs w:val="22"/>
        </w:rPr>
        <w:t xml:space="preserve">. </w:t>
      </w:r>
    </w:p>
    <w:p w14:paraId="265F0854" w14:textId="34F6220A" w:rsidR="007B052C" w:rsidRPr="007B052C" w:rsidRDefault="007B052C" w:rsidP="00972D4B">
      <w:pPr>
        <w:spacing w:line="240" w:lineRule="auto"/>
        <w:rPr>
          <w:rStyle w:val="SubtleEmphasis"/>
          <w:i w:val="0"/>
          <w:iCs w:val="0"/>
          <w:color w:val="auto"/>
          <w:sz w:val="22"/>
          <w:szCs w:val="22"/>
        </w:rPr>
      </w:pPr>
      <w:r>
        <w:rPr>
          <w:sz w:val="22"/>
          <w:szCs w:val="22"/>
        </w:rPr>
        <w:lastRenderedPageBreak/>
        <w:t xml:space="preserve">Employees will be required to provide medical certification from a physician indicating the purpose and length of each leave that is requested for bone marrow or organ donation. </w:t>
      </w:r>
    </w:p>
    <w:p w14:paraId="78240091" w14:textId="427D333D" w:rsidR="008B5DE7" w:rsidRDefault="008B5DE7" w:rsidP="00EB7D19">
      <w:pPr>
        <w:pStyle w:val="Heading1"/>
        <w:rPr>
          <w:rStyle w:val="SubtleEmphasis"/>
          <w:b w:val="0"/>
          <w:bCs w:val="0"/>
          <w:i w:val="0"/>
          <w:iCs w:val="0"/>
          <w:color w:val="00586F" w:themeColor="text2"/>
          <w:sz w:val="36"/>
          <w:szCs w:val="36"/>
        </w:rPr>
      </w:pPr>
      <w:r>
        <w:rPr>
          <w:rStyle w:val="SubtleEmphasis"/>
          <w:i w:val="0"/>
          <w:iCs w:val="0"/>
          <w:color w:val="00586F" w:themeColor="text2"/>
          <w:sz w:val="36"/>
          <w:szCs w:val="36"/>
        </w:rPr>
        <w:t xml:space="preserve">Leave </w:t>
      </w:r>
      <w:r w:rsidR="00491700">
        <w:rPr>
          <w:rStyle w:val="SubtleEmphasis"/>
          <w:i w:val="0"/>
          <w:iCs w:val="0"/>
          <w:color w:val="00586F" w:themeColor="text2"/>
          <w:sz w:val="36"/>
          <w:szCs w:val="36"/>
        </w:rPr>
        <w:t>Hours</w:t>
      </w:r>
    </w:p>
    <w:p w14:paraId="4942D82B" w14:textId="6C3FCE12" w:rsidR="008B5DE7" w:rsidRDefault="008B5DE7" w:rsidP="00972D4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491700">
        <w:rPr>
          <w:sz w:val="22"/>
          <w:szCs w:val="22"/>
        </w:rPr>
        <w:t xml:space="preserve">ligible employees </w:t>
      </w:r>
      <w:r w:rsidR="00742BB9">
        <w:rPr>
          <w:sz w:val="22"/>
          <w:szCs w:val="22"/>
        </w:rPr>
        <w:t xml:space="preserve">are permitted up to a maximum number of hours based on donation type and medical need. </w:t>
      </w:r>
    </w:p>
    <w:p w14:paraId="3DCBFAF2" w14:textId="45FE38CB" w:rsidR="0091701D" w:rsidRDefault="0091701D" w:rsidP="0091701D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Blood Donation</w:t>
      </w:r>
    </w:p>
    <w:p w14:paraId="5CF4FFF3" w14:textId="1480A463" w:rsidR="00B101EB" w:rsidRPr="00972D4B" w:rsidRDefault="00516773" w:rsidP="00972D4B">
      <w:pPr>
        <w:pStyle w:val="Heading2"/>
        <w:spacing w:before="0" w:after="120" w:line="240" w:lineRule="auto"/>
        <w:rPr>
          <w:rFonts w:eastAsiaTheme="minorHAnsi"/>
          <w:b w:val="0"/>
          <w:bCs w:val="0"/>
          <w:color w:val="auto"/>
          <w:sz w:val="22"/>
          <w:szCs w:val="22"/>
        </w:rPr>
      </w:pPr>
      <w:r w:rsidRPr="00972D4B">
        <w:rPr>
          <w:rFonts w:eastAsiaTheme="minorHAnsi"/>
          <w:b w:val="0"/>
          <w:bCs w:val="0"/>
          <w:color w:val="auto"/>
          <w:sz w:val="22"/>
          <w:szCs w:val="22"/>
        </w:rPr>
        <w:t>Blood donation leave</w:t>
      </w:r>
      <w:r w:rsidR="00B101EB" w:rsidRPr="00972D4B">
        <w:rPr>
          <w:rFonts w:eastAsiaTheme="minorHAnsi"/>
          <w:b w:val="0"/>
          <w:bCs w:val="0"/>
          <w:color w:val="auto"/>
          <w:sz w:val="22"/>
          <w:szCs w:val="22"/>
        </w:rPr>
        <w:t xml:space="preserve"> may </w:t>
      </w:r>
      <w:r w:rsidRPr="00972D4B">
        <w:rPr>
          <w:rFonts w:eastAsiaTheme="minorHAnsi"/>
          <w:b w:val="0"/>
          <w:bCs w:val="0"/>
          <w:color w:val="auto"/>
          <w:sz w:val="22"/>
          <w:szCs w:val="22"/>
        </w:rPr>
        <w:t xml:space="preserve">be </w:t>
      </w:r>
      <w:r w:rsidR="00B101EB" w:rsidRPr="00972D4B">
        <w:rPr>
          <w:rFonts w:eastAsiaTheme="minorHAnsi"/>
          <w:b w:val="0"/>
          <w:bCs w:val="0"/>
          <w:color w:val="auto"/>
          <w:sz w:val="22"/>
          <w:szCs w:val="22"/>
        </w:rPr>
        <w:t>take</w:t>
      </w:r>
      <w:r w:rsidRPr="00972D4B">
        <w:rPr>
          <w:rFonts w:eastAsiaTheme="minorHAnsi"/>
          <w:b w:val="0"/>
          <w:bCs w:val="0"/>
          <w:color w:val="auto"/>
          <w:sz w:val="22"/>
          <w:szCs w:val="22"/>
        </w:rPr>
        <w:t>n in 15-minute increments,</w:t>
      </w:r>
      <w:r w:rsidR="00B101EB" w:rsidRPr="00972D4B">
        <w:rPr>
          <w:rFonts w:eastAsiaTheme="minorHAnsi"/>
          <w:b w:val="0"/>
          <w:bCs w:val="0"/>
          <w:color w:val="auto"/>
          <w:sz w:val="22"/>
          <w:szCs w:val="22"/>
        </w:rPr>
        <w:t xml:space="preserve"> up to 1 hour per blood donation, with a maximum of 6 hours of paid leave per calendar year, to donate blood during the workday. Leave is </w:t>
      </w:r>
      <w:r w:rsidR="0056399A" w:rsidRPr="00972D4B">
        <w:rPr>
          <w:rFonts w:eastAsiaTheme="minorHAnsi"/>
          <w:b w:val="0"/>
          <w:bCs w:val="0"/>
          <w:color w:val="auto"/>
          <w:sz w:val="22"/>
          <w:szCs w:val="22"/>
        </w:rPr>
        <w:t xml:space="preserve">prorated by full time </w:t>
      </w:r>
      <w:r w:rsidR="005C11F8" w:rsidRPr="00972D4B">
        <w:rPr>
          <w:rFonts w:eastAsiaTheme="minorHAnsi"/>
          <w:b w:val="0"/>
          <w:bCs w:val="0"/>
          <w:color w:val="auto"/>
          <w:sz w:val="22"/>
          <w:szCs w:val="22"/>
        </w:rPr>
        <w:t xml:space="preserve">equivalency (FTE) with the annual amount rounded to the nearest quarter hour. </w:t>
      </w:r>
    </w:p>
    <w:p w14:paraId="1D2B1C33" w14:textId="1878A7B7" w:rsidR="005C11F8" w:rsidRPr="00972D4B" w:rsidRDefault="005C11F8" w:rsidP="00972D4B">
      <w:pPr>
        <w:spacing w:line="240" w:lineRule="auto"/>
        <w:rPr>
          <w:sz w:val="22"/>
          <w:szCs w:val="22"/>
        </w:rPr>
      </w:pPr>
      <w:r w:rsidRPr="00972D4B">
        <w:rPr>
          <w:sz w:val="22"/>
          <w:szCs w:val="22"/>
        </w:rPr>
        <w:t>Employees are not eligible for blood donation leave outside their normally scheduled work hours</w:t>
      </w:r>
      <w:r w:rsidR="00516773" w:rsidRPr="00972D4B">
        <w:rPr>
          <w:sz w:val="22"/>
          <w:szCs w:val="22"/>
        </w:rPr>
        <w:t xml:space="preserve"> and blood donation leave cannot be applied to exceed the employee’s FTE or result in overtime. Blood donation leave must be documented on the employee’s timesheet by adding a note for the time spent donating blood. </w:t>
      </w:r>
    </w:p>
    <w:p w14:paraId="5EFA1198" w14:textId="706BB0CC" w:rsidR="007B052C" w:rsidRPr="00972D4B" w:rsidRDefault="007B052C" w:rsidP="00972D4B">
      <w:pPr>
        <w:spacing w:line="240" w:lineRule="auto"/>
        <w:rPr>
          <w:sz w:val="22"/>
          <w:szCs w:val="22"/>
        </w:rPr>
      </w:pPr>
      <w:r w:rsidRPr="05E74935">
        <w:rPr>
          <w:sz w:val="22"/>
          <w:szCs w:val="22"/>
        </w:rPr>
        <w:t xml:space="preserve">Employees may request additional time off per calendar year for blood donation so long as they have sufficient leave balances to cover their absence. Advance supervisor approval is </w:t>
      </w:r>
      <w:r w:rsidR="6B886F77" w:rsidRPr="05E74935">
        <w:rPr>
          <w:sz w:val="22"/>
          <w:szCs w:val="22"/>
        </w:rPr>
        <w:t xml:space="preserve">required, </w:t>
      </w:r>
      <w:r w:rsidRPr="05E74935">
        <w:rPr>
          <w:sz w:val="22"/>
          <w:szCs w:val="22"/>
        </w:rPr>
        <w:t>and employees will be required to use vacation leave, compensatory leave, paid time off (PTO)</w:t>
      </w:r>
      <w:r w:rsidR="00071871" w:rsidRPr="05E74935">
        <w:rPr>
          <w:sz w:val="22"/>
          <w:szCs w:val="22"/>
        </w:rPr>
        <w:t>,</w:t>
      </w:r>
      <w:r w:rsidRPr="05E74935">
        <w:rPr>
          <w:sz w:val="22"/>
          <w:szCs w:val="22"/>
        </w:rPr>
        <w:t xml:space="preserve"> or flexible leave time. Sick leave is not </w:t>
      </w:r>
      <w:r w:rsidR="00071871" w:rsidRPr="05E74935">
        <w:rPr>
          <w:sz w:val="22"/>
          <w:szCs w:val="22"/>
        </w:rPr>
        <w:t>eligible to be used for blood donation.</w:t>
      </w:r>
    </w:p>
    <w:p w14:paraId="476F38FF" w14:textId="6859ED64" w:rsidR="00B101EB" w:rsidRDefault="00B101EB" w:rsidP="00B101E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Bone Marrow and Organ Donation</w:t>
      </w:r>
    </w:p>
    <w:p w14:paraId="1CA775ED" w14:textId="575F8E4B" w:rsidR="00B101EB" w:rsidRPr="00972D4B" w:rsidRDefault="007B052C" w:rsidP="00972D4B">
      <w:pPr>
        <w:spacing w:line="240" w:lineRule="auto"/>
        <w:rPr>
          <w:sz w:val="22"/>
          <w:szCs w:val="22"/>
        </w:rPr>
      </w:pPr>
      <w:r w:rsidRPr="00972D4B">
        <w:rPr>
          <w:sz w:val="22"/>
          <w:szCs w:val="22"/>
        </w:rPr>
        <w:t xml:space="preserve">Bone marrow or organ donation leave may be taken in 15-minute increments, up to a </w:t>
      </w:r>
      <w:r w:rsidR="00972D4B" w:rsidRPr="00972D4B">
        <w:rPr>
          <w:sz w:val="22"/>
          <w:szCs w:val="22"/>
        </w:rPr>
        <w:t xml:space="preserve">combined </w:t>
      </w:r>
      <w:r w:rsidRPr="00972D4B">
        <w:rPr>
          <w:sz w:val="22"/>
          <w:szCs w:val="22"/>
        </w:rPr>
        <w:t>maximum of 40 hours</w:t>
      </w:r>
      <w:r w:rsidR="00071871" w:rsidRPr="00972D4B">
        <w:rPr>
          <w:sz w:val="22"/>
          <w:szCs w:val="22"/>
        </w:rPr>
        <w:t xml:space="preserve"> for each donation. If there is a medical determination that the employee does not qualify as a</w:t>
      </w:r>
      <w:r w:rsidR="00972D4B">
        <w:rPr>
          <w:sz w:val="22"/>
          <w:szCs w:val="22"/>
        </w:rPr>
        <w:t xml:space="preserve"> bone marrow or organ </w:t>
      </w:r>
      <w:r w:rsidR="00071871" w:rsidRPr="00972D4B">
        <w:rPr>
          <w:sz w:val="22"/>
          <w:szCs w:val="22"/>
        </w:rPr>
        <w:t>donor, the paid leave of absence granted to the employee prior to the medical determination is not forfeited.</w:t>
      </w:r>
      <w:r w:rsidR="001D1676">
        <w:rPr>
          <w:sz w:val="22"/>
          <w:szCs w:val="22"/>
        </w:rPr>
        <w:t xml:space="preserve"> Bone marrow or organ donation leave must be properly coded on the employee’s timesheet.</w:t>
      </w:r>
    </w:p>
    <w:p w14:paraId="0E54AA95" w14:textId="35562D90" w:rsidR="0091701D" w:rsidRPr="00972D4B" w:rsidRDefault="00972D4B" w:rsidP="00972D4B">
      <w:pPr>
        <w:spacing w:line="240" w:lineRule="auto"/>
        <w:rPr>
          <w:sz w:val="22"/>
          <w:szCs w:val="22"/>
        </w:rPr>
      </w:pPr>
      <w:r w:rsidRPr="3FD394DD">
        <w:rPr>
          <w:sz w:val="22"/>
          <w:szCs w:val="22"/>
        </w:rPr>
        <w:t xml:space="preserve">Bone marrow or organ donation leave will run </w:t>
      </w:r>
      <w:proofErr w:type="gramStart"/>
      <w:r w:rsidRPr="3FD394DD">
        <w:rPr>
          <w:sz w:val="22"/>
          <w:szCs w:val="22"/>
        </w:rPr>
        <w:t>concurrent</w:t>
      </w:r>
      <w:proofErr w:type="gramEnd"/>
      <w:r w:rsidRPr="3FD394DD">
        <w:rPr>
          <w:sz w:val="22"/>
          <w:szCs w:val="22"/>
        </w:rPr>
        <w:t xml:space="preserve"> with other applicable leave laws.</w:t>
      </w:r>
      <w:r w:rsidR="30B503FA" w:rsidRPr="3FD394DD">
        <w:rPr>
          <w:sz w:val="22"/>
          <w:szCs w:val="22"/>
        </w:rPr>
        <w:t xml:space="preserve"> Employees will be required to apply for Minnesota Paid Family Medical Leave (PFML). If approved, the </w:t>
      </w:r>
      <w:proofErr w:type="gramStart"/>
      <w:r w:rsidR="30B503FA" w:rsidRPr="3FD394DD">
        <w:rPr>
          <w:sz w:val="22"/>
          <w:szCs w:val="22"/>
        </w:rPr>
        <w:t>City</w:t>
      </w:r>
      <w:proofErr w:type="gramEnd"/>
      <w:r w:rsidR="30B503FA" w:rsidRPr="3FD394DD">
        <w:rPr>
          <w:sz w:val="22"/>
          <w:szCs w:val="22"/>
        </w:rPr>
        <w:t xml:space="preserve"> will supplement </w:t>
      </w:r>
      <w:r w:rsidR="6D22AEE2" w:rsidRPr="3FD394DD">
        <w:rPr>
          <w:sz w:val="22"/>
          <w:szCs w:val="22"/>
        </w:rPr>
        <w:t>the PFML payment.</w:t>
      </w:r>
      <w:r w:rsidRPr="3FD394DD">
        <w:rPr>
          <w:sz w:val="22"/>
          <w:szCs w:val="22"/>
        </w:rPr>
        <w:t xml:space="preserve"> Employees may request additional time off per donation, provided medical documentation supports the need for additional time off. Employees will be required to </w:t>
      </w:r>
      <w:r w:rsidR="001D1676" w:rsidRPr="3FD394DD">
        <w:rPr>
          <w:sz w:val="22"/>
          <w:szCs w:val="22"/>
        </w:rPr>
        <w:t xml:space="preserve">submit a Leave of Absence Request Form if additional time off </w:t>
      </w:r>
      <w:proofErr w:type="gramStart"/>
      <w:r w:rsidR="001D1676" w:rsidRPr="3FD394DD">
        <w:rPr>
          <w:sz w:val="22"/>
          <w:szCs w:val="22"/>
        </w:rPr>
        <w:t>is being requested</w:t>
      </w:r>
      <w:proofErr w:type="gramEnd"/>
      <w:r w:rsidR="001D1676" w:rsidRPr="3FD394DD">
        <w:rPr>
          <w:sz w:val="22"/>
          <w:szCs w:val="22"/>
        </w:rPr>
        <w:t xml:space="preserve"> and they will be required to </w:t>
      </w:r>
      <w:r w:rsidRPr="3FD394DD">
        <w:rPr>
          <w:sz w:val="22"/>
          <w:szCs w:val="22"/>
        </w:rPr>
        <w:t>use personal accruals, unless covered under PFML</w:t>
      </w:r>
      <w:r w:rsidR="001D1676" w:rsidRPr="3FD394DD">
        <w:rPr>
          <w:sz w:val="22"/>
          <w:szCs w:val="22"/>
        </w:rPr>
        <w:t xml:space="preserve">. </w:t>
      </w:r>
      <w:r w:rsidRPr="3FD394DD">
        <w:rPr>
          <w:sz w:val="22"/>
          <w:szCs w:val="22"/>
        </w:rPr>
        <w:t>Refer to the Family and Medical Leave policy for rights and responsibilities under PFML.</w:t>
      </w:r>
    </w:p>
    <w:p w14:paraId="7D1D824C" w14:textId="2E9EB942" w:rsidR="00EC74B9" w:rsidRPr="007A0EA6" w:rsidRDefault="00B55F36" w:rsidP="00395D1A">
      <w:pPr>
        <w:pStyle w:val="Heading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Associated </w:t>
      </w:r>
      <w:r w:rsidR="00EC74B9" w:rsidRPr="007A0EA6">
        <w:rPr>
          <w:sz w:val="36"/>
          <w:szCs w:val="36"/>
        </w:rPr>
        <w:t>Forms</w:t>
      </w:r>
    </w:p>
    <w:p w14:paraId="39486CEB" w14:textId="56BFF3F1" w:rsidR="00EC74B9" w:rsidRPr="00395D1A" w:rsidRDefault="00EC74B9" w:rsidP="00395D1A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All forms associated with this policy can be found on </w:t>
      </w:r>
      <w:proofErr w:type="spellStart"/>
      <w:r w:rsidRPr="00395D1A">
        <w:rPr>
          <w:sz w:val="22"/>
          <w:szCs w:val="22"/>
        </w:rPr>
        <w:t>Rochester@Work</w:t>
      </w:r>
      <w:proofErr w:type="spellEnd"/>
      <w:r w:rsidRPr="00395D1A">
        <w:rPr>
          <w:sz w:val="22"/>
          <w:szCs w:val="22"/>
        </w:rPr>
        <w:t xml:space="preserve">. </w:t>
      </w:r>
    </w:p>
    <w:p w14:paraId="5AE8E9B6" w14:textId="47ECB03C" w:rsidR="00EC74B9" w:rsidRPr="00395D1A" w:rsidRDefault="00EC74B9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>Leave of Absence Request Form</w:t>
      </w:r>
    </w:p>
    <w:p w14:paraId="600E3B1C" w14:textId="3EB9E7CC" w:rsidR="00EC74B9" w:rsidRPr="007A0EA6" w:rsidRDefault="00EC74B9" w:rsidP="00395D1A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 xml:space="preserve">Legal &amp; Statutory Authority </w:t>
      </w:r>
    </w:p>
    <w:p w14:paraId="43FB9E38" w14:textId="3C241A48" w:rsidR="00EC74B9" w:rsidRDefault="00EC74B9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MN Statute </w:t>
      </w:r>
      <w:r w:rsidR="00AD1F85">
        <w:rPr>
          <w:sz w:val="22"/>
          <w:szCs w:val="22"/>
        </w:rPr>
        <w:t>181.945</w:t>
      </w:r>
    </w:p>
    <w:p w14:paraId="37B9E983" w14:textId="0FD2228C" w:rsidR="00AD1F85" w:rsidRDefault="00AD1F85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MN Statute 181.94</w:t>
      </w:r>
      <w:r w:rsidR="00251367">
        <w:rPr>
          <w:sz w:val="22"/>
          <w:szCs w:val="22"/>
        </w:rPr>
        <w:t>5</w:t>
      </w:r>
      <w:r>
        <w:rPr>
          <w:sz w:val="22"/>
          <w:szCs w:val="22"/>
        </w:rPr>
        <w:t>6</w:t>
      </w:r>
    </w:p>
    <w:p w14:paraId="4CB46B75" w14:textId="7219DAF8" w:rsidR="00AD1F85" w:rsidRPr="00395D1A" w:rsidRDefault="00AD1F85" w:rsidP="00395D1A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MN Statute 181.9458</w:t>
      </w:r>
    </w:p>
    <w:p w14:paraId="320AC9D9" w14:textId="1D73B341" w:rsidR="00EC74B9" w:rsidRPr="007A0EA6" w:rsidRDefault="00EC74B9" w:rsidP="00395D1A">
      <w:pPr>
        <w:pStyle w:val="Heading1"/>
        <w:spacing w:line="240" w:lineRule="auto"/>
        <w:rPr>
          <w:sz w:val="36"/>
          <w:szCs w:val="32"/>
        </w:rPr>
      </w:pPr>
      <w:r w:rsidRPr="007A0EA6">
        <w:rPr>
          <w:sz w:val="36"/>
          <w:szCs w:val="32"/>
        </w:rPr>
        <w:t>Approval &amp; Policy Revisions</w:t>
      </w:r>
    </w:p>
    <w:p w14:paraId="5B552564" w14:textId="2DD2F2BC" w:rsidR="00EC74B9" w:rsidRPr="00395D1A" w:rsidRDefault="00EC74B9" w:rsidP="00395D1A">
      <w:pPr>
        <w:tabs>
          <w:tab w:val="left" w:pos="6030"/>
        </w:tabs>
        <w:spacing w:line="240" w:lineRule="auto"/>
        <w:rPr>
          <w:sz w:val="22"/>
          <w:szCs w:val="22"/>
        </w:rPr>
      </w:pPr>
      <w:r w:rsidRPr="36488957">
        <w:rPr>
          <w:sz w:val="22"/>
          <w:szCs w:val="22"/>
        </w:rPr>
        <w:t xml:space="preserve">Policy revisions approved on </w:t>
      </w:r>
      <w:r w:rsidR="00B55F36">
        <w:rPr>
          <w:sz w:val="22"/>
          <w:szCs w:val="22"/>
        </w:rPr>
        <w:t>July 1, 2026</w:t>
      </w:r>
    </w:p>
    <w:p w14:paraId="43F98477" w14:textId="6D8294C8" w:rsidR="00EC74B9" w:rsidRDefault="00EC74B9" w:rsidP="00395D1A">
      <w:pPr>
        <w:tabs>
          <w:tab w:val="left" w:pos="6030"/>
        </w:tabs>
        <w:spacing w:line="240" w:lineRule="auto"/>
      </w:pPr>
      <w:r w:rsidRPr="00EC74B9">
        <w:rPr>
          <w:noProof/>
        </w:rPr>
        <w:lastRenderedPageBreak/>
        <w:drawing>
          <wp:inline distT="0" distB="0" distL="0" distR="0" wp14:anchorId="4592A45B" wp14:editId="16F2D889">
            <wp:extent cx="2689410" cy="609600"/>
            <wp:effectExtent l="0" t="0" r="0" b="0"/>
            <wp:docPr id="672040590" name="Picture 2" descr="Alison Zelms, City Administrator's signature, which shows approval of the polic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40590" name="Picture 2" descr="Alison Zelms, City Administrator's signature, which shows approval of the policy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4" cy="6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DE3C" w14:textId="746E178F" w:rsidR="003F5163" w:rsidRPr="00395D1A" w:rsidRDefault="00EC74B9" w:rsidP="00395D1A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>Alison Zelms</w:t>
      </w:r>
      <w:r w:rsidR="003F5163" w:rsidRPr="00395D1A">
        <w:rPr>
          <w:sz w:val="22"/>
          <w:szCs w:val="22"/>
        </w:rPr>
        <w:t>, City Administrator</w:t>
      </w:r>
    </w:p>
    <w:p w14:paraId="15BEC363" w14:textId="77777777" w:rsidR="003F5163" w:rsidRDefault="003F5163" w:rsidP="00395D1A">
      <w:pPr>
        <w:tabs>
          <w:tab w:val="left" w:pos="6030"/>
        </w:tabs>
        <w:spacing w:line="240" w:lineRule="auto"/>
      </w:pPr>
    </w:p>
    <w:p w14:paraId="70499FAF" w14:textId="693E7660" w:rsidR="003F5163" w:rsidRDefault="003F5163" w:rsidP="00395D1A">
      <w:pPr>
        <w:pStyle w:val="Heading2"/>
        <w:spacing w:line="240" w:lineRule="auto"/>
        <w:rPr>
          <w:rStyle w:val="SubtleEmphasis"/>
          <w:i w:val="0"/>
          <w:iCs w:val="0"/>
          <w:color w:val="auto"/>
          <w:sz w:val="24"/>
          <w:szCs w:val="22"/>
        </w:rPr>
      </w:pPr>
      <w:r w:rsidRPr="003F5163">
        <w:rPr>
          <w:rStyle w:val="SubtleEmphasis"/>
          <w:i w:val="0"/>
          <w:iCs w:val="0"/>
          <w:color w:val="auto"/>
          <w:sz w:val="24"/>
          <w:szCs w:val="22"/>
        </w:rPr>
        <w:t>Policy History</w:t>
      </w:r>
    </w:p>
    <w:p w14:paraId="4B11AE24" w14:textId="0C9F0AA2" w:rsidR="003F5163" w:rsidRPr="00395D1A" w:rsidRDefault="003F5163" w:rsidP="00395D1A">
      <w:pPr>
        <w:spacing w:line="240" w:lineRule="auto"/>
        <w:rPr>
          <w:sz w:val="22"/>
          <w:szCs w:val="22"/>
        </w:rPr>
      </w:pPr>
      <w:r w:rsidRPr="36488957">
        <w:rPr>
          <w:sz w:val="22"/>
          <w:szCs w:val="22"/>
        </w:rPr>
        <w:t xml:space="preserve">Current Revision: </w:t>
      </w:r>
      <w:r w:rsidR="009A4DDE" w:rsidRPr="36488957">
        <w:rPr>
          <w:sz w:val="22"/>
          <w:szCs w:val="22"/>
        </w:rPr>
        <w:t>0</w:t>
      </w:r>
      <w:r w:rsidR="4A42D0AA" w:rsidRPr="36488957">
        <w:rPr>
          <w:sz w:val="22"/>
          <w:szCs w:val="22"/>
        </w:rPr>
        <w:t>7/01</w:t>
      </w:r>
      <w:r w:rsidR="009A4DDE" w:rsidRPr="36488957">
        <w:rPr>
          <w:sz w:val="22"/>
          <w:szCs w:val="22"/>
        </w:rPr>
        <w:t>/2026</w:t>
      </w:r>
    </w:p>
    <w:p w14:paraId="6393660B" w14:textId="4E1299A1" w:rsidR="003F5163" w:rsidRPr="00395D1A" w:rsidRDefault="003F5163" w:rsidP="00395D1A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>Previous Revision(s):</w:t>
      </w:r>
      <w:r w:rsidR="003F2D42">
        <w:rPr>
          <w:sz w:val="22"/>
          <w:szCs w:val="22"/>
        </w:rPr>
        <w:t xml:space="preserve"> 12/01/2008, 08/04/2014, </w:t>
      </w:r>
      <w:r w:rsidR="009A4DDE">
        <w:rPr>
          <w:sz w:val="22"/>
          <w:szCs w:val="22"/>
        </w:rPr>
        <w:t>1/11/2022</w:t>
      </w:r>
    </w:p>
    <w:sectPr w:rsidR="003F5163" w:rsidRPr="00395D1A" w:rsidSect="00854780">
      <w:headerReference w:type="default" r:id="rId14"/>
      <w:type w:val="continuous"/>
      <w:pgSz w:w="12240" w:h="15840"/>
      <w:pgMar w:top="720" w:right="1440" w:bottom="1440" w:left="1440" w:header="59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C09E" w14:textId="77777777" w:rsidR="00606A3D" w:rsidRDefault="00606A3D" w:rsidP="00304D1F">
      <w:r>
        <w:separator/>
      </w:r>
    </w:p>
  </w:endnote>
  <w:endnote w:type="continuationSeparator" w:id="0">
    <w:p w14:paraId="5CEADBBB" w14:textId="77777777" w:rsidR="00606A3D" w:rsidRDefault="00606A3D" w:rsidP="003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82D5" w14:textId="77777777" w:rsidR="00606A3D" w:rsidRDefault="00606A3D" w:rsidP="00304D1F">
      <w:r>
        <w:separator/>
      </w:r>
    </w:p>
  </w:footnote>
  <w:footnote w:type="continuationSeparator" w:id="0">
    <w:p w14:paraId="60BC5353" w14:textId="77777777" w:rsidR="00606A3D" w:rsidRDefault="00606A3D" w:rsidP="0030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E008" w14:textId="77777777" w:rsidR="00C85759" w:rsidRDefault="00C85759" w:rsidP="00304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4411"/>
    <w:multiLevelType w:val="multilevel"/>
    <w:tmpl w:val="26A621AA"/>
    <w:lvl w:ilvl="0">
      <w:start w:val="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42329"/>
    <w:multiLevelType w:val="hybridMultilevel"/>
    <w:tmpl w:val="3508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962"/>
    <w:multiLevelType w:val="hybridMultilevel"/>
    <w:tmpl w:val="0C84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4755"/>
    <w:multiLevelType w:val="hybridMultilevel"/>
    <w:tmpl w:val="952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7375F"/>
    <w:multiLevelType w:val="hybridMultilevel"/>
    <w:tmpl w:val="07488E86"/>
    <w:lvl w:ilvl="0" w:tplc="8A1CE20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A10D1C"/>
    <w:multiLevelType w:val="hybridMultilevel"/>
    <w:tmpl w:val="6D3C2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84B0A"/>
    <w:multiLevelType w:val="hybridMultilevel"/>
    <w:tmpl w:val="1E9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42C9B"/>
    <w:multiLevelType w:val="hybridMultilevel"/>
    <w:tmpl w:val="EA90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E7947"/>
    <w:multiLevelType w:val="hybridMultilevel"/>
    <w:tmpl w:val="269E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905FA"/>
    <w:multiLevelType w:val="hybridMultilevel"/>
    <w:tmpl w:val="E8848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443403">
    <w:abstractNumId w:val="5"/>
  </w:num>
  <w:num w:numId="2" w16cid:durableId="1177840911">
    <w:abstractNumId w:val="5"/>
  </w:num>
  <w:num w:numId="3" w16cid:durableId="1600986767">
    <w:abstractNumId w:val="1"/>
  </w:num>
  <w:num w:numId="4" w16cid:durableId="1991249410">
    <w:abstractNumId w:val="0"/>
  </w:num>
  <w:num w:numId="5" w16cid:durableId="1842621057">
    <w:abstractNumId w:val="8"/>
  </w:num>
  <w:num w:numId="6" w16cid:durableId="674042829">
    <w:abstractNumId w:val="7"/>
  </w:num>
  <w:num w:numId="7" w16cid:durableId="1606842324">
    <w:abstractNumId w:val="6"/>
  </w:num>
  <w:num w:numId="8" w16cid:durableId="1686594550">
    <w:abstractNumId w:val="3"/>
  </w:num>
  <w:num w:numId="9" w16cid:durableId="1986427474">
    <w:abstractNumId w:val="9"/>
  </w:num>
  <w:num w:numId="10" w16cid:durableId="1883976744">
    <w:abstractNumId w:val="4"/>
  </w:num>
  <w:num w:numId="11" w16cid:durableId="1014645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33"/>
    <w:rsid w:val="00016196"/>
    <w:rsid w:val="00021537"/>
    <w:rsid w:val="00024448"/>
    <w:rsid w:val="00027D6D"/>
    <w:rsid w:val="00071871"/>
    <w:rsid w:val="000A4112"/>
    <w:rsid w:val="000C2EFD"/>
    <w:rsid w:val="000C4069"/>
    <w:rsid w:val="000D115B"/>
    <w:rsid w:val="000E540F"/>
    <w:rsid w:val="001125D6"/>
    <w:rsid w:val="00116F6D"/>
    <w:rsid w:val="00135A8A"/>
    <w:rsid w:val="00142A43"/>
    <w:rsid w:val="001441DB"/>
    <w:rsid w:val="0014716A"/>
    <w:rsid w:val="0015725F"/>
    <w:rsid w:val="0017111F"/>
    <w:rsid w:val="0017283E"/>
    <w:rsid w:val="00173B1D"/>
    <w:rsid w:val="001936CB"/>
    <w:rsid w:val="001A5440"/>
    <w:rsid w:val="001B47EE"/>
    <w:rsid w:val="001C42E7"/>
    <w:rsid w:val="001D1676"/>
    <w:rsid w:val="001D5DA6"/>
    <w:rsid w:val="00204D63"/>
    <w:rsid w:val="002053E1"/>
    <w:rsid w:val="00223C1A"/>
    <w:rsid w:val="00224641"/>
    <w:rsid w:val="00231133"/>
    <w:rsid w:val="0023384B"/>
    <w:rsid w:val="00251367"/>
    <w:rsid w:val="002551E4"/>
    <w:rsid w:val="00282C02"/>
    <w:rsid w:val="00295B5B"/>
    <w:rsid w:val="002A0948"/>
    <w:rsid w:val="002B1571"/>
    <w:rsid w:val="002B57E4"/>
    <w:rsid w:val="002C3EF1"/>
    <w:rsid w:val="00301B30"/>
    <w:rsid w:val="00304D1F"/>
    <w:rsid w:val="00331EF7"/>
    <w:rsid w:val="00332659"/>
    <w:rsid w:val="00333298"/>
    <w:rsid w:val="00340E1E"/>
    <w:rsid w:val="00353D56"/>
    <w:rsid w:val="00385A3B"/>
    <w:rsid w:val="0038630C"/>
    <w:rsid w:val="00395D1A"/>
    <w:rsid w:val="003A6E9F"/>
    <w:rsid w:val="003B7987"/>
    <w:rsid w:val="003F2D42"/>
    <w:rsid w:val="003F5163"/>
    <w:rsid w:val="00402844"/>
    <w:rsid w:val="00405FBA"/>
    <w:rsid w:val="00421F7E"/>
    <w:rsid w:val="00427530"/>
    <w:rsid w:val="004307CB"/>
    <w:rsid w:val="004343D7"/>
    <w:rsid w:val="00460298"/>
    <w:rsid w:val="0046203B"/>
    <w:rsid w:val="0047304B"/>
    <w:rsid w:val="00481ABE"/>
    <w:rsid w:val="00490190"/>
    <w:rsid w:val="00491700"/>
    <w:rsid w:val="00495207"/>
    <w:rsid w:val="004A7492"/>
    <w:rsid w:val="004C3BFD"/>
    <w:rsid w:val="004C6431"/>
    <w:rsid w:val="004E3B67"/>
    <w:rsid w:val="004E6BB9"/>
    <w:rsid w:val="00513E0B"/>
    <w:rsid w:val="0051571F"/>
    <w:rsid w:val="00516773"/>
    <w:rsid w:val="005203BB"/>
    <w:rsid w:val="00554416"/>
    <w:rsid w:val="0056399A"/>
    <w:rsid w:val="00580C59"/>
    <w:rsid w:val="0058108E"/>
    <w:rsid w:val="005C11F8"/>
    <w:rsid w:val="005D4AD7"/>
    <w:rsid w:val="005E7CCB"/>
    <w:rsid w:val="005F480E"/>
    <w:rsid w:val="00602D11"/>
    <w:rsid w:val="00603215"/>
    <w:rsid w:val="00606A3D"/>
    <w:rsid w:val="006174FF"/>
    <w:rsid w:val="00621F85"/>
    <w:rsid w:val="00636A84"/>
    <w:rsid w:val="00645E53"/>
    <w:rsid w:val="00663633"/>
    <w:rsid w:val="006671A2"/>
    <w:rsid w:val="006867B1"/>
    <w:rsid w:val="00706417"/>
    <w:rsid w:val="00717428"/>
    <w:rsid w:val="00722CCA"/>
    <w:rsid w:val="00723495"/>
    <w:rsid w:val="00740C16"/>
    <w:rsid w:val="00742BB9"/>
    <w:rsid w:val="007504A8"/>
    <w:rsid w:val="00751F62"/>
    <w:rsid w:val="00764103"/>
    <w:rsid w:val="00772F91"/>
    <w:rsid w:val="007733CB"/>
    <w:rsid w:val="0077650D"/>
    <w:rsid w:val="00776524"/>
    <w:rsid w:val="007A0EA6"/>
    <w:rsid w:val="007A6809"/>
    <w:rsid w:val="007B052C"/>
    <w:rsid w:val="007B096F"/>
    <w:rsid w:val="007B1499"/>
    <w:rsid w:val="007D452E"/>
    <w:rsid w:val="007F370B"/>
    <w:rsid w:val="00817E2E"/>
    <w:rsid w:val="00854780"/>
    <w:rsid w:val="0086239A"/>
    <w:rsid w:val="00881941"/>
    <w:rsid w:val="0088755C"/>
    <w:rsid w:val="0089529F"/>
    <w:rsid w:val="008A08F2"/>
    <w:rsid w:val="008B5DE7"/>
    <w:rsid w:val="008C0220"/>
    <w:rsid w:val="008E3684"/>
    <w:rsid w:val="008E5085"/>
    <w:rsid w:val="008F05B3"/>
    <w:rsid w:val="008F72BB"/>
    <w:rsid w:val="009115B2"/>
    <w:rsid w:val="0091701D"/>
    <w:rsid w:val="00923E96"/>
    <w:rsid w:val="00926655"/>
    <w:rsid w:val="009344D9"/>
    <w:rsid w:val="00955CAE"/>
    <w:rsid w:val="00972D4B"/>
    <w:rsid w:val="009962CC"/>
    <w:rsid w:val="009A296D"/>
    <w:rsid w:val="009A4DDE"/>
    <w:rsid w:val="009B3448"/>
    <w:rsid w:val="009D59BA"/>
    <w:rsid w:val="009F0FC2"/>
    <w:rsid w:val="00A010C6"/>
    <w:rsid w:val="00A05B6F"/>
    <w:rsid w:val="00A27E4E"/>
    <w:rsid w:val="00A33357"/>
    <w:rsid w:val="00A33759"/>
    <w:rsid w:val="00A41F64"/>
    <w:rsid w:val="00A553B6"/>
    <w:rsid w:val="00A7445F"/>
    <w:rsid w:val="00A818B5"/>
    <w:rsid w:val="00A85119"/>
    <w:rsid w:val="00A90506"/>
    <w:rsid w:val="00A956E8"/>
    <w:rsid w:val="00AB1FC2"/>
    <w:rsid w:val="00AC3698"/>
    <w:rsid w:val="00AD1F85"/>
    <w:rsid w:val="00AE3ECD"/>
    <w:rsid w:val="00AF3CCF"/>
    <w:rsid w:val="00B0215A"/>
    <w:rsid w:val="00B101EB"/>
    <w:rsid w:val="00B11FBD"/>
    <w:rsid w:val="00B27582"/>
    <w:rsid w:val="00B42D09"/>
    <w:rsid w:val="00B55F36"/>
    <w:rsid w:val="00B5676A"/>
    <w:rsid w:val="00B93779"/>
    <w:rsid w:val="00B951EA"/>
    <w:rsid w:val="00BC03DE"/>
    <w:rsid w:val="00BC6072"/>
    <w:rsid w:val="00BF6D24"/>
    <w:rsid w:val="00C06037"/>
    <w:rsid w:val="00C24A2A"/>
    <w:rsid w:val="00C45EB2"/>
    <w:rsid w:val="00C5787B"/>
    <w:rsid w:val="00C61A03"/>
    <w:rsid w:val="00C6513D"/>
    <w:rsid w:val="00C65665"/>
    <w:rsid w:val="00C85759"/>
    <w:rsid w:val="00CB183E"/>
    <w:rsid w:val="00CB47CD"/>
    <w:rsid w:val="00CD3397"/>
    <w:rsid w:val="00D003D6"/>
    <w:rsid w:val="00D02145"/>
    <w:rsid w:val="00D338D6"/>
    <w:rsid w:val="00D51BE0"/>
    <w:rsid w:val="00D563FA"/>
    <w:rsid w:val="00D75A5A"/>
    <w:rsid w:val="00D97A54"/>
    <w:rsid w:val="00D97C45"/>
    <w:rsid w:val="00DA3E06"/>
    <w:rsid w:val="00DB4673"/>
    <w:rsid w:val="00DC2ED9"/>
    <w:rsid w:val="00DC408E"/>
    <w:rsid w:val="00DD3CA5"/>
    <w:rsid w:val="00DE6355"/>
    <w:rsid w:val="00DF6311"/>
    <w:rsid w:val="00E36189"/>
    <w:rsid w:val="00E40D1F"/>
    <w:rsid w:val="00E61CD6"/>
    <w:rsid w:val="00E7102A"/>
    <w:rsid w:val="00E77456"/>
    <w:rsid w:val="00E96314"/>
    <w:rsid w:val="00EB140A"/>
    <w:rsid w:val="00EB7D19"/>
    <w:rsid w:val="00EC217D"/>
    <w:rsid w:val="00EC74B9"/>
    <w:rsid w:val="00EC7A3C"/>
    <w:rsid w:val="00ED1973"/>
    <w:rsid w:val="00ED1A85"/>
    <w:rsid w:val="00ED1EC9"/>
    <w:rsid w:val="00ED27F2"/>
    <w:rsid w:val="00EE15ED"/>
    <w:rsid w:val="00EE67AB"/>
    <w:rsid w:val="00EF2A10"/>
    <w:rsid w:val="00F65181"/>
    <w:rsid w:val="00F851CD"/>
    <w:rsid w:val="00F86062"/>
    <w:rsid w:val="00FA3DDD"/>
    <w:rsid w:val="00FB5978"/>
    <w:rsid w:val="00FC62E2"/>
    <w:rsid w:val="00FC6452"/>
    <w:rsid w:val="00FD4D71"/>
    <w:rsid w:val="00FD5E3E"/>
    <w:rsid w:val="00FE594B"/>
    <w:rsid w:val="00FE69BB"/>
    <w:rsid w:val="00FF1BFA"/>
    <w:rsid w:val="00FF623E"/>
    <w:rsid w:val="0396FB01"/>
    <w:rsid w:val="05E74935"/>
    <w:rsid w:val="30B503FA"/>
    <w:rsid w:val="36488957"/>
    <w:rsid w:val="3FD394DD"/>
    <w:rsid w:val="4A42D0AA"/>
    <w:rsid w:val="4A43A01D"/>
    <w:rsid w:val="5238B2B8"/>
    <w:rsid w:val="63F80F01"/>
    <w:rsid w:val="6B789999"/>
    <w:rsid w:val="6B886F77"/>
    <w:rsid w:val="6D22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A43C"/>
  <w15:chartTrackingRefBased/>
  <w15:docId w15:val="{0FDD8E88-156E-43C3-A15A-DB75F5D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779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BFD"/>
    <w:pPr>
      <w:keepNext/>
      <w:keepLines/>
      <w:spacing w:before="240" w:after="80"/>
      <w:outlineLvl w:val="0"/>
    </w:pPr>
    <w:rPr>
      <w:rFonts w:eastAsiaTheme="majorEastAsia"/>
      <w:b/>
      <w:bCs/>
      <w:color w:val="00586F" w:themeColor="text2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96D"/>
    <w:pPr>
      <w:keepNext/>
      <w:keepLines/>
      <w:spacing w:before="160" w:after="80"/>
      <w:outlineLvl w:val="1"/>
    </w:pPr>
    <w:rPr>
      <w:rFonts w:eastAsiaTheme="majorEastAsia"/>
      <w:b/>
      <w:bCs/>
      <w:color w:val="00586F" w:themeColor="text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BFD"/>
    <w:pPr>
      <w:keepNext/>
      <w:keepLines/>
      <w:spacing w:before="160" w:after="80"/>
      <w:outlineLvl w:val="2"/>
    </w:pPr>
    <w:rPr>
      <w:rFonts w:eastAsiaTheme="majorEastAsia"/>
      <w:color w:val="00586F" w:themeColor="text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BFD"/>
    <w:pPr>
      <w:keepNext/>
      <w:keepLines/>
      <w:spacing w:before="80" w:after="40"/>
      <w:outlineLvl w:val="3"/>
    </w:pPr>
    <w:rPr>
      <w:rFonts w:eastAsiaTheme="majorEastAsia"/>
      <w:i/>
      <w:iCs/>
      <w:color w:val="00586F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125D6"/>
    <w:pPr>
      <w:keepNext/>
      <w:keepLines/>
      <w:spacing w:before="80" w:after="40"/>
      <w:outlineLvl w:val="4"/>
    </w:pPr>
    <w:rPr>
      <w:rFonts w:eastAsiaTheme="majorEastAsia" w:cstheme="majorBidi"/>
      <w:color w:val="39A4B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FD"/>
    <w:rPr>
      <w:rFonts w:ascii="Arial" w:eastAsiaTheme="majorEastAsia" w:hAnsi="Arial" w:cs="Arial"/>
      <w:b/>
      <w:bCs/>
      <w:color w:val="00586F" w:themeColor="text2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96D"/>
    <w:rPr>
      <w:rFonts w:ascii="Arial" w:eastAsiaTheme="majorEastAsia" w:hAnsi="Arial" w:cs="Arial"/>
      <w:b/>
      <w:bCs/>
      <w:color w:val="00586F" w:themeColor="text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3BFD"/>
    <w:rPr>
      <w:rFonts w:ascii="Arial" w:eastAsiaTheme="majorEastAsia" w:hAnsi="Arial" w:cs="Arial"/>
      <w:color w:val="00586F" w:themeColor="text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C3BFD"/>
    <w:rPr>
      <w:rFonts w:ascii="Arial" w:eastAsiaTheme="majorEastAsia" w:hAnsi="Arial" w:cs="Arial"/>
      <w:i/>
      <w:iCs/>
      <w:color w:val="00586F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5D6"/>
    <w:rPr>
      <w:rFonts w:eastAsiaTheme="majorEastAsia" w:cstheme="majorBidi"/>
      <w:color w:val="39A4B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759"/>
    <w:pPr>
      <w:spacing w:before="360" w:after="40" w:line="240" w:lineRule="auto"/>
      <w:contextualSpacing/>
    </w:pPr>
    <w:rPr>
      <w:rFonts w:eastAsiaTheme="majorEastAsia"/>
      <w:b/>
      <w:bCs/>
      <w:color w:val="00586F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759"/>
    <w:rPr>
      <w:rFonts w:ascii="Arial" w:eastAsiaTheme="majorEastAsia" w:hAnsi="Arial" w:cs="Arial"/>
      <w:b/>
      <w:bCs/>
      <w:color w:val="00586F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C1A"/>
    <w:pPr>
      <w:numPr>
        <w:ilvl w:val="1"/>
      </w:numPr>
      <w:spacing w:after="40"/>
    </w:pPr>
    <w:rPr>
      <w:rFonts w:eastAsiaTheme="majorEastAsia" w:cstheme="majorBidi"/>
      <w:b/>
      <w:color w:val="595959" w:themeColor="text1" w:themeTint="A6"/>
      <w:spacing w:val="8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C1A"/>
    <w:rPr>
      <w:rFonts w:ascii="Arial" w:eastAsiaTheme="majorEastAsia" w:hAnsi="Arial" w:cstheme="majorBidi"/>
      <w:b/>
      <w:color w:val="595959" w:themeColor="text1" w:themeTint="A6"/>
      <w:spacing w:val="8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12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F91"/>
    <w:pPr>
      <w:numPr>
        <w:numId w:val="10"/>
      </w:numPr>
      <w:spacing w:after="160"/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125D6"/>
    <w:rPr>
      <w:i/>
      <w:iCs/>
      <w:color w:val="39A4B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13E0B"/>
    <w:pPr>
      <w:pBdr>
        <w:top w:val="single" w:sz="4" w:space="10" w:color="39A4BD" w:themeColor="accent1" w:themeShade="BF"/>
        <w:bottom w:val="single" w:sz="4" w:space="10" w:color="39A4BD" w:themeColor="accent1" w:themeShade="BF"/>
      </w:pBdr>
      <w:spacing w:before="360" w:after="360"/>
      <w:ind w:left="864" w:right="864"/>
      <w:jc w:val="center"/>
    </w:pPr>
    <w:rPr>
      <w:i/>
      <w:iCs/>
      <w:color w:val="00586F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E0B"/>
    <w:rPr>
      <w:rFonts w:ascii="Arial" w:hAnsi="Arial" w:cs="Arial"/>
      <w:i/>
      <w:iCs/>
      <w:color w:val="00586F" w:themeColor="text2"/>
    </w:rPr>
  </w:style>
  <w:style w:type="character" w:styleId="IntenseReference">
    <w:name w:val="Intense Reference"/>
    <w:basedOn w:val="DefaultParagraphFont"/>
    <w:uiPriority w:val="32"/>
    <w:rsid w:val="001125D6"/>
    <w:rPr>
      <w:b/>
      <w:bCs/>
      <w:smallCaps/>
      <w:color w:val="39A4B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D6"/>
  </w:style>
  <w:style w:type="paragraph" w:styleId="Footer">
    <w:name w:val="footer"/>
    <w:basedOn w:val="Normal"/>
    <w:link w:val="Foot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D6"/>
  </w:style>
  <w:style w:type="table" w:styleId="TableGrid">
    <w:name w:val="Table Grid"/>
    <w:basedOn w:val="TableNormal"/>
    <w:uiPriority w:val="39"/>
    <w:rsid w:val="0011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5E7CCB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5E7CC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5E7CC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E7CCB"/>
    <w:rPr>
      <w:i/>
      <w:iCs/>
      <w:color w:val="404040" w:themeColor="text1" w:themeTint="BF"/>
    </w:rPr>
  </w:style>
  <w:style w:type="table" w:styleId="ListTable3-Accent4">
    <w:name w:val="List Table 3 Accent 4"/>
    <w:basedOn w:val="TableNormal"/>
    <w:uiPriority w:val="48"/>
    <w:rsid w:val="005F480E"/>
    <w:pPr>
      <w:spacing w:after="0" w:line="240" w:lineRule="auto"/>
    </w:pPr>
    <w:tblPr>
      <w:tblStyleRowBandSize w:val="1"/>
      <w:tblStyleColBandSize w:val="1"/>
      <w:tblBorders>
        <w:top w:val="single" w:sz="4" w:space="0" w:color="00586F" w:themeColor="accent4"/>
        <w:left w:val="single" w:sz="4" w:space="0" w:color="00586F" w:themeColor="accent4"/>
        <w:bottom w:val="single" w:sz="4" w:space="0" w:color="00586F" w:themeColor="accent4"/>
        <w:right w:val="single" w:sz="4" w:space="0" w:color="0058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058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86F" w:themeColor="accent4"/>
          <w:right w:val="single" w:sz="4" w:space="0" w:color="00586F" w:themeColor="accent4"/>
        </w:tcBorders>
      </w:tcPr>
    </w:tblStylePr>
    <w:tblStylePr w:type="band1Horz">
      <w:tblPr/>
      <w:tcPr>
        <w:tcBorders>
          <w:top w:val="single" w:sz="4" w:space="0" w:color="00586F" w:themeColor="accent4"/>
          <w:bottom w:val="single" w:sz="4" w:space="0" w:color="0058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86F" w:themeColor="accent4"/>
          <w:left w:val="nil"/>
        </w:tcBorders>
      </w:tcPr>
    </w:tblStylePr>
    <w:tblStylePr w:type="swCell">
      <w:tblPr/>
      <w:tcPr>
        <w:tcBorders>
          <w:top w:val="double" w:sz="4" w:space="0" w:color="00586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833177" w:themeColor="accent5"/>
        <w:left w:val="single" w:sz="4" w:space="0" w:color="833177" w:themeColor="accent5"/>
        <w:bottom w:val="single" w:sz="4" w:space="0" w:color="833177" w:themeColor="accent5"/>
        <w:right w:val="single" w:sz="4" w:space="0" w:color="83317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3177" w:themeFill="accent5"/>
      </w:tcPr>
    </w:tblStylePr>
    <w:tblStylePr w:type="lastRow">
      <w:rPr>
        <w:b/>
        <w:bCs/>
      </w:rPr>
      <w:tblPr/>
      <w:tcPr>
        <w:tcBorders>
          <w:top w:val="double" w:sz="4" w:space="0" w:color="83317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3177" w:themeColor="accent5"/>
          <w:right w:val="single" w:sz="4" w:space="0" w:color="833177" w:themeColor="accent5"/>
        </w:tcBorders>
      </w:tcPr>
    </w:tblStylePr>
    <w:tblStylePr w:type="band1Horz">
      <w:tblPr/>
      <w:tcPr>
        <w:tcBorders>
          <w:top w:val="single" w:sz="4" w:space="0" w:color="833177" w:themeColor="accent5"/>
          <w:bottom w:val="single" w:sz="4" w:space="0" w:color="83317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3177" w:themeColor="accent5"/>
          <w:left w:val="nil"/>
        </w:tcBorders>
      </w:tcPr>
    </w:tblStylePr>
    <w:tblStylePr w:type="swCell">
      <w:tblPr/>
      <w:tcPr>
        <w:tcBorders>
          <w:top w:val="double" w:sz="4" w:space="0" w:color="833177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5BAC9" w:themeColor="accent3"/>
        <w:left w:val="single" w:sz="4" w:space="0" w:color="A5BAC9" w:themeColor="accent3"/>
        <w:bottom w:val="single" w:sz="4" w:space="0" w:color="A5BAC9" w:themeColor="accent3"/>
        <w:right w:val="single" w:sz="4" w:space="0" w:color="A5BA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A5BA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AC9" w:themeColor="accent3"/>
          <w:right w:val="single" w:sz="4" w:space="0" w:color="A5BAC9" w:themeColor="accent3"/>
        </w:tcBorders>
      </w:tcPr>
    </w:tblStylePr>
    <w:tblStylePr w:type="band1Horz">
      <w:tblPr/>
      <w:tcPr>
        <w:tcBorders>
          <w:top w:val="single" w:sz="4" w:space="0" w:color="A5BAC9" w:themeColor="accent3"/>
          <w:bottom w:val="single" w:sz="4" w:space="0" w:color="A5BA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AC9" w:themeColor="accent3"/>
          <w:left w:val="nil"/>
        </w:tcBorders>
      </w:tcPr>
    </w:tblStylePr>
    <w:tblStylePr w:type="swCell">
      <w:tblPr/>
      <w:tcPr>
        <w:tcBorders>
          <w:top w:val="double" w:sz="4" w:space="0" w:color="A5BAC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E6D67D" w:themeColor="accent2"/>
        <w:left w:val="single" w:sz="4" w:space="0" w:color="E6D67D" w:themeColor="accent2"/>
        <w:bottom w:val="single" w:sz="4" w:space="0" w:color="E6D67D" w:themeColor="accent2"/>
        <w:right w:val="single" w:sz="4" w:space="0" w:color="E6D67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E6D67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D67D" w:themeColor="accent2"/>
          <w:right w:val="single" w:sz="4" w:space="0" w:color="E6D67D" w:themeColor="accent2"/>
        </w:tcBorders>
      </w:tcPr>
    </w:tblStylePr>
    <w:tblStylePr w:type="band1Horz">
      <w:tblPr/>
      <w:tcPr>
        <w:tcBorders>
          <w:top w:val="single" w:sz="4" w:space="0" w:color="E6D67D" w:themeColor="accent2"/>
          <w:bottom w:val="single" w:sz="4" w:space="0" w:color="E6D67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D67D" w:themeColor="accent2"/>
          <w:left w:val="nil"/>
        </w:tcBorders>
      </w:tcPr>
    </w:tblStylePr>
    <w:tblStylePr w:type="swCell">
      <w:tblPr/>
      <w:tcPr>
        <w:tcBorders>
          <w:top w:val="double" w:sz="4" w:space="0" w:color="E6D67D" w:themeColor="accent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BDAE5" w:themeColor="accent1" w:themeTint="99"/>
        <w:left w:val="single" w:sz="4" w:space="0" w:color="ABDAE5" w:themeColor="accent1" w:themeTint="99"/>
        <w:bottom w:val="single" w:sz="4" w:space="0" w:color="ABDAE5" w:themeColor="accent1" w:themeTint="99"/>
        <w:right w:val="single" w:sz="4" w:space="0" w:color="ABDAE5" w:themeColor="accent1" w:themeTint="99"/>
        <w:insideH w:val="single" w:sz="4" w:space="0" w:color="ABD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3D5" w:themeColor="accent1"/>
          <w:left w:val="single" w:sz="4" w:space="0" w:color="74C3D5" w:themeColor="accent1"/>
          <w:bottom w:val="single" w:sz="4" w:space="0" w:color="74C3D5" w:themeColor="accent1"/>
          <w:right w:val="single" w:sz="4" w:space="0" w:color="74C3D5" w:themeColor="accent1"/>
          <w:insideH w:val="nil"/>
        </w:tcBorders>
        <w:shd w:val="clear" w:color="auto" w:fill="74C3D5" w:themeFill="accent1"/>
      </w:tcPr>
    </w:tblStylePr>
    <w:tblStylePr w:type="lastRow">
      <w:rPr>
        <w:b/>
        <w:bCs/>
      </w:rPr>
      <w:tblPr/>
      <w:tcPr>
        <w:tcBorders>
          <w:top w:val="double" w:sz="4" w:space="0" w:color="ABDA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6" w:themeFill="accent1" w:themeFillTint="33"/>
      </w:tcPr>
    </w:tblStylePr>
    <w:tblStylePr w:type="band1Horz">
      <w:tblPr/>
      <w:tcPr>
        <w:shd w:val="clear" w:color="auto" w:fill="E3F2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F0E6B1" w:themeColor="accent2" w:themeTint="99"/>
        <w:left w:val="single" w:sz="4" w:space="0" w:color="F0E6B1" w:themeColor="accent2" w:themeTint="99"/>
        <w:bottom w:val="single" w:sz="4" w:space="0" w:color="F0E6B1" w:themeColor="accent2" w:themeTint="99"/>
        <w:right w:val="single" w:sz="4" w:space="0" w:color="F0E6B1" w:themeColor="accent2" w:themeTint="99"/>
        <w:insideH w:val="single" w:sz="4" w:space="0" w:color="F0E6B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D67D" w:themeColor="accent2"/>
          <w:left w:val="single" w:sz="4" w:space="0" w:color="E6D67D" w:themeColor="accent2"/>
          <w:bottom w:val="single" w:sz="4" w:space="0" w:color="E6D67D" w:themeColor="accent2"/>
          <w:right w:val="single" w:sz="4" w:space="0" w:color="E6D67D" w:themeColor="accent2"/>
          <w:insideH w:val="nil"/>
        </w:tcBorders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F0E6B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5" w:themeFill="accent2" w:themeFillTint="33"/>
      </w:tcPr>
    </w:tblStylePr>
    <w:tblStylePr w:type="band1Horz">
      <w:tblPr/>
      <w:tcPr>
        <w:shd w:val="clear" w:color="auto" w:fill="FAF6E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C8D5DE" w:themeColor="accent3" w:themeTint="99"/>
        <w:left w:val="single" w:sz="4" w:space="0" w:color="C8D5DE" w:themeColor="accent3" w:themeTint="99"/>
        <w:bottom w:val="single" w:sz="4" w:space="0" w:color="C8D5DE" w:themeColor="accent3" w:themeTint="99"/>
        <w:right w:val="single" w:sz="4" w:space="0" w:color="C8D5DE" w:themeColor="accent3" w:themeTint="99"/>
        <w:insideH w:val="single" w:sz="4" w:space="0" w:color="C8D5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AC9" w:themeColor="accent3"/>
          <w:left w:val="single" w:sz="4" w:space="0" w:color="A5BAC9" w:themeColor="accent3"/>
          <w:bottom w:val="single" w:sz="4" w:space="0" w:color="A5BAC9" w:themeColor="accent3"/>
          <w:right w:val="single" w:sz="4" w:space="0" w:color="A5BAC9" w:themeColor="accent3"/>
          <w:insideH w:val="nil"/>
        </w:tcBorders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C8D5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4" w:themeFill="accent3" w:themeFillTint="33"/>
      </w:tcPr>
    </w:tblStylePr>
    <w:tblStylePr w:type="band1Horz">
      <w:tblPr/>
      <w:tcPr>
        <w:shd w:val="clear" w:color="auto" w:fill="ECF1F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0FCDFF" w:themeColor="accent4" w:themeTint="99"/>
        <w:left w:val="single" w:sz="4" w:space="0" w:color="0FCDFF" w:themeColor="accent4" w:themeTint="99"/>
        <w:bottom w:val="single" w:sz="4" w:space="0" w:color="0FCDFF" w:themeColor="accent4" w:themeTint="99"/>
        <w:right w:val="single" w:sz="4" w:space="0" w:color="0FCDFF" w:themeColor="accent4" w:themeTint="99"/>
        <w:insideH w:val="single" w:sz="4" w:space="0" w:color="0FC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6F" w:themeColor="accent4"/>
          <w:left w:val="single" w:sz="4" w:space="0" w:color="00586F" w:themeColor="accent4"/>
          <w:bottom w:val="single" w:sz="4" w:space="0" w:color="00586F" w:themeColor="accent4"/>
          <w:right w:val="single" w:sz="4" w:space="0" w:color="00586F" w:themeColor="accent4"/>
          <w:insideH w:val="nil"/>
        </w:tcBorders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FC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EFF" w:themeFill="accent4" w:themeFillTint="33"/>
      </w:tcPr>
    </w:tblStylePr>
    <w:tblStylePr w:type="band1Horz">
      <w:tblPr/>
      <w:tcPr>
        <w:shd w:val="clear" w:color="auto" w:fill="AFEEFF" w:themeFill="accent4" w:themeFillTint="33"/>
      </w:tcPr>
    </w:tblStylePr>
  </w:style>
  <w:style w:type="paragraph" w:customStyle="1" w:styleId="DateStyle">
    <w:name w:val="Date Style"/>
    <w:basedOn w:val="Normal"/>
    <w:link w:val="DateStyleChar"/>
    <w:qFormat/>
    <w:rsid w:val="002C3EF1"/>
    <w:rPr>
      <w:i/>
      <w:iCs/>
      <w:color w:val="00586F" w:themeColor="text2"/>
    </w:rPr>
  </w:style>
  <w:style w:type="character" w:customStyle="1" w:styleId="DateStyleChar">
    <w:name w:val="Date Style Char"/>
    <w:basedOn w:val="DefaultParagraphFont"/>
    <w:link w:val="DateStyle"/>
    <w:rsid w:val="002C3EF1"/>
    <w:rPr>
      <w:rFonts w:ascii="Arial" w:hAnsi="Arial" w:cs="Arial"/>
      <w:i/>
      <w:iCs/>
      <w:color w:val="00586F" w:themeColor="text2"/>
    </w:rPr>
  </w:style>
  <w:style w:type="character" w:styleId="Hyperlink">
    <w:name w:val="Hyperlink"/>
    <w:basedOn w:val="DefaultParagraphFont"/>
    <w:uiPriority w:val="99"/>
    <w:unhideWhenUsed/>
    <w:rsid w:val="007733CB"/>
    <w:rPr>
      <w:color w:val="0058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3CB"/>
    <w:rPr>
      <w:color w:val="002C3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nefits@rochesterm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Human%20Resources\Human%20Resources\Shared%20HR\Branding\COR_ADA_Letterhead_2026.dotx" TargetMode="External"/></Relationships>
</file>

<file path=word/theme/theme1.xml><?xml version="1.0" encoding="utf-8"?>
<a:theme xmlns:a="http://schemas.openxmlformats.org/drawingml/2006/main" name="Office Theme">
  <a:themeElements>
    <a:clrScheme name="City of Rochester, MN 2026">
      <a:dk1>
        <a:sysClr val="windowText" lastClr="000000"/>
      </a:dk1>
      <a:lt1>
        <a:sysClr val="window" lastClr="FFFFFF"/>
      </a:lt1>
      <a:dk2>
        <a:srgbClr val="00586F"/>
      </a:dk2>
      <a:lt2>
        <a:srgbClr val="FFFFFF"/>
      </a:lt2>
      <a:accent1>
        <a:srgbClr val="74C3D5"/>
      </a:accent1>
      <a:accent2>
        <a:srgbClr val="E6D67D"/>
      </a:accent2>
      <a:accent3>
        <a:srgbClr val="A5BAC9"/>
      </a:accent3>
      <a:accent4>
        <a:srgbClr val="00586F"/>
      </a:accent4>
      <a:accent5>
        <a:srgbClr val="833177"/>
      </a:accent5>
      <a:accent6>
        <a:srgbClr val="FF585D"/>
      </a:accent6>
      <a:hlink>
        <a:srgbClr val="00586F"/>
      </a:hlink>
      <a:folHlink>
        <a:srgbClr val="002C3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A81E0DAFC3E409C45ABC66D150D19" ma:contentTypeVersion="15" ma:contentTypeDescription="Create a new document." ma:contentTypeScope="" ma:versionID="411d12fa99f2b1172a965cc2467bb85c">
  <xsd:schema xmlns:xsd="http://www.w3.org/2001/XMLSchema" xmlns:xs="http://www.w3.org/2001/XMLSchema" xmlns:p="http://schemas.microsoft.com/office/2006/metadata/properties" xmlns:ns2="98a9d63a-ee02-4af2-88cc-b2e411489690" xmlns:ns3="b55ba81e-b52a-4070-89e4-3c76d5140eea" targetNamespace="http://schemas.microsoft.com/office/2006/metadata/properties" ma:root="true" ma:fieldsID="2d26fd0f7a97f8b70bc783376adf07ef" ns2:_="" ns3:_="">
    <xsd:import namespace="98a9d63a-ee02-4af2-88cc-b2e411489690"/>
    <xsd:import namespace="b55ba81e-b52a-4070-89e4-3c76d5140e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9d63a-ee02-4af2-88cc-b2e4114896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57461-18a3-4866-9f6d-e42c0ddc16c2}" ma:internalName="TaxCatchAll" ma:showField="CatchAllData" ma:web="98a9d63a-ee02-4af2-88cc-b2e4114896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ba81e-b52a-4070-89e4-3c76d5140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b57f31b-2571-4296-aa43-87d39cc4f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ba81e-b52a-4070-89e4-3c76d5140eea">
      <Terms xmlns="http://schemas.microsoft.com/office/infopath/2007/PartnerControls"/>
    </lcf76f155ced4ddcb4097134ff3c332f>
    <TaxCatchAll xmlns="98a9d63a-ee02-4af2-88cc-b2e411489690" xsi:nil="true"/>
    <SharedWithUsers xmlns="98a9d63a-ee02-4af2-88cc-b2e41148969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4154310-240B-EC45-B4D9-1D56BB94E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B85B83-4EBA-432C-B36C-7EAECAC8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9d63a-ee02-4af2-88cc-b2e411489690"/>
    <ds:schemaRef ds:uri="b55ba81e-b52a-4070-89e4-3c76d5140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0ECAC-49DC-4727-A41F-9E50E1C4D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46E27-9587-4FA3-A57D-51F9EC41C5B9}">
  <ds:schemaRefs>
    <ds:schemaRef ds:uri="http://schemas.microsoft.com/office/2006/metadata/properties"/>
    <ds:schemaRef ds:uri="http://schemas.microsoft.com/office/infopath/2007/PartnerControls"/>
    <ds:schemaRef ds:uri="b55ba81e-b52a-4070-89e4-3c76d5140eea"/>
    <ds:schemaRef ds:uri="98a9d63a-ee02-4af2-88cc-b2e4114896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COR_ADA_Letterhead_2026.dotx</Template>
  <TotalTime>11</TotalTime>
  <Pages>3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Cloutier</dc:creator>
  <cp:keywords/>
  <dc:description/>
  <cp:lastModifiedBy>Danielle Cloutier</cp:lastModifiedBy>
  <cp:revision>6</cp:revision>
  <dcterms:created xsi:type="dcterms:W3CDTF">2026-04-29T16:08:00Z</dcterms:created>
  <dcterms:modified xsi:type="dcterms:W3CDTF">2026-06-24T14:51:00Z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7ee07507-fddd-492e-8ebe-edbde2f1b2c5</vt:lpwstr>
  </property>
  <property fmtid="{D5CDD505-2E9C-101B-9397-08002B2CF9AE}" pid="3" name="ContentTypeId">
    <vt:lpwstr>0x01010040FA81E0DAFC3E409C45ABC66D150D19</vt:lpwstr>
  </property>
  <property fmtid="{D5CDD505-2E9C-101B-9397-08002B2CF9AE}" pid="4" name="Order">
    <vt:r8>401600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